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494D50" w:rsidRPr="00106A2A" w:rsidTr="00C85D0F">
        <w:trPr>
          <w:trHeight w:hRule="exact" w:val="1418"/>
        </w:trPr>
        <w:tc>
          <w:tcPr>
            <w:tcW w:w="6804" w:type="dxa"/>
            <w:shd w:val="clear" w:color="auto" w:fill="auto"/>
            <w:vAlign w:val="center"/>
          </w:tcPr>
          <w:p w:rsidR="00494D50" w:rsidRPr="00106A2A" w:rsidRDefault="008B34F2" w:rsidP="00C85D0F">
            <w:pPr>
              <w:pStyle w:val="EPName"/>
            </w:pPr>
            <w:r w:rsidRPr="00106A2A">
              <w:t>Европейски парламент</w:t>
            </w:r>
          </w:p>
          <w:p w:rsidR="00494D50" w:rsidRPr="00106A2A" w:rsidRDefault="00106A2A" w:rsidP="00106A2A">
            <w:pPr>
              <w:pStyle w:val="EPTerm"/>
            </w:pPr>
            <w:r>
              <w:t>2019 – </w:t>
            </w:r>
            <w:r w:rsidRPr="00106A2A">
              <w:t>2024</w:t>
            </w:r>
          </w:p>
        </w:tc>
        <w:tc>
          <w:tcPr>
            <w:tcW w:w="2268" w:type="dxa"/>
            <w:shd w:val="clear" w:color="auto" w:fill="auto"/>
          </w:tcPr>
          <w:p w:rsidR="00494D50" w:rsidRPr="00106A2A" w:rsidRDefault="00494D50" w:rsidP="00C85D0F">
            <w:pPr>
              <w:pStyle w:val="EPLogo"/>
            </w:pPr>
            <w:r w:rsidRPr="00106A2A">
              <w:rPr>
                <w:noProof/>
              </w:rPr>
              <w:drawing>
                <wp:inline distT="0" distB="0" distL="0" distR="0" wp14:anchorId="4B8BE00E" wp14:editId="501F4E6E">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BE4AC1" w:rsidRPr="00106A2A" w:rsidRDefault="00BE4AC1" w:rsidP="00BE4AC1">
      <w:pPr>
        <w:pStyle w:val="LineTop"/>
      </w:pPr>
    </w:p>
    <w:p w:rsidR="00BE4AC1" w:rsidRPr="00106A2A" w:rsidRDefault="008B34F2" w:rsidP="00BE4AC1">
      <w:pPr>
        <w:pStyle w:val="EPBody"/>
      </w:pPr>
      <w:r w:rsidRPr="00106A2A">
        <w:t>Консолидиран законодателен документ</w:t>
      </w:r>
    </w:p>
    <w:p w:rsidR="00BE4AC1" w:rsidRPr="00106A2A" w:rsidRDefault="00BE4AC1" w:rsidP="00330FEA">
      <w:pPr>
        <w:pStyle w:val="LineBottom"/>
      </w:pPr>
    </w:p>
    <w:p w:rsidR="00D06995" w:rsidRPr="00106A2A" w:rsidRDefault="00106A2A" w:rsidP="00D06995">
      <w:pPr>
        <w:pStyle w:val="CoverReference"/>
      </w:pPr>
      <w:r w:rsidRPr="00106A2A">
        <w:t>EP-PE_TC1-COD(2021)0206</w:t>
      </w:r>
    </w:p>
    <w:p w:rsidR="00D06995" w:rsidRPr="00106A2A" w:rsidRDefault="00106A2A" w:rsidP="00D06995">
      <w:pPr>
        <w:pStyle w:val="CoverDate"/>
      </w:pPr>
      <w:r w:rsidRPr="00106A2A">
        <w:rPr>
          <w:rStyle w:val="HideTWBInt"/>
        </w:rPr>
        <w:t>{18/04/2023}</w:t>
      </w:r>
      <w:r w:rsidRPr="00106A2A">
        <w:t>18.4.2023</w:t>
      </w:r>
    </w:p>
    <w:p w:rsidR="00BE4AC1" w:rsidRPr="00106A2A" w:rsidRDefault="00106A2A" w:rsidP="00CC358E">
      <w:pPr>
        <w:pStyle w:val="CoverDocType"/>
      </w:pPr>
      <w:r w:rsidRPr="00106A2A">
        <w:t>***I</w:t>
      </w:r>
    </w:p>
    <w:p w:rsidR="00BE4AC1" w:rsidRPr="00106A2A" w:rsidRDefault="008B34F2" w:rsidP="00BE0112">
      <w:pPr>
        <w:pStyle w:val="CoverDocType24a"/>
      </w:pPr>
      <w:r w:rsidRPr="00106A2A">
        <w:t>ПОЗИЦИЯ НА ЕВРОПЕЙСКИЯ ПАРЛАМЕНТ</w:t>
      </w:r>
    </w:p>
    <w:p w:rsidR="0096592A" w:rsidRPr="00106A2A" w:rsidRDefault="00106A2A" w:rsidP="00BE0112">
      <w:pPr>
        <w:pStyle w:val="CoverNormal"/>
      </w:pPr>
      <w:r w:rsidRPr="00106A2A">
        <w:t>приета на първо четене на 18 април 2023 г. с оглед на приемането на Регламент (ЕС) 2023/... на Европейския парламент и на Съвета за създаване на Социален фонд за климата и за изменение на Регламент (ЕС) 2021/1060</w:t>
      </w:r>
    </w:p>
    <w:p w:rsidR="00BE4AC1" w:rsidRPr="00106A2A" w:rsidRDefault="00BE4AC1" w:rsidP="00BE0112">
      <w:pPr>
        <w:pStyle w:val="CoverNormal"/>
      </w:pPr>
      <w:r w:rsidRPr="00106A2A">
        <w:t>(</w:t>
      </w:r>
      <w:r w:rsidR="00106A2A" w:rsidRPr="00106A2A">
        <w:t>EP-PE_TC1-COD(2021)0206</w:t>
      </w:r>
      <w:r w:rsidRPr="00106A2A">
        <w:t>)</w:t>
      </w:r>
    </w:p>
    <w:p w:rsidR="001A7617" w:rsidRPr="00106A2A" w:rsidRDefault="001A7617" w:rsidP="00BE0112">
      <w:pPr>
        <w:pStyle w:val="CoverNormal"/>
      </w:pPr>
    </w:p>
    <w:p w:rsidR="00BE0112" w:rsidRPr="00106A2A" w:rsidRDefault="00BE0112" w:rsidP="009844B0"/>
    <w:p w:rsidR="00BE0112" w:rsidRPr="00106A2A" w:rsidRDefault="00BE0112" w:rsidP="009844B0">
      <w:pPr>
        <w:sectPr w:rsidR="00BE0112" w:rsidRPr="00106A2A" w:rsidSect="00106A2A">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continuous"/>
          <w:pgSz w:w="11906" w:h="16838" w:code="9"/>
          <w:pgMar w:top="1134" w:right="1418" w:bottom="1418" w:left="1418" w:header="1134" w:footer="567" w:gutter="0"/>
          <w:pgNumType w:fmt="numberInDash" w:start="0"/>
          <w:cols w:space="720"/>
          <w:titlePg/>
        </w:sectPr>
      </w:pPr>
    </w:p>
    <w:p w:rsidR="00A51CB9" w:rsidRPr="00106A2A" w:rsidRDefault="008B34F2" w:rsidP="008D715A">
      <w:pPr>
        <w:pStyle w:val="HeadingCenter24a"/>
      </w:pPr>
      <w:r w:rsidRPr="00106A2A">
        <w:lastRenderedPageBreak/>
        <w:t>ПОЗИЦИЯ НА ЕВРОПЕЙСКИЯ ПАРЛАМЕНТ</w:t>
      </w:r>
    </w:p>
    <w:p w:rsidR="0032447B" w:rsidRPr="00106A2A" w:rsidRDefault="00106A2A" w:rsidP="008D715A">
      <w:pPr>
        <w:pStyle w:val="HeadingCenter24a"/>
      </w:pPr>
      <w:r w:rsidRPr="00106A2A">
        <w:t xml:space="preserve">приета на първо четене на 18 април 2023 г. </w:t>
      </w:r>
    </w:p>
    <w:p w:rsidR="00523372" w:rsidRPr="00106A2A" w:rsidRDefault="00106A2A" w:rsidP="008D715A">
      <w:pPr>
        <w:pStyle w:val="HeadingCenter24a"/>
      </w:pPr>
      <w:r w:rsidRPr="00106A2A">
        <w:t xml:space="preserve">с оглед на приемането на Регламент (ЕС) 2023/... на Европейския парламент и на Съвета </w:t>
      </w:r>
      <w:r w:rsidRPr="00106A2A">
        <w:rPr>
          <w:rFonts w:eastAsia="Calibri"/>
          <w:szCs w:val="22"/>
          <w:lang w:eastAsia="en-US"/>
        </w:rPr>
        <w:t>за създаване на Социален фонд за климата и за изменение на Регламент (ЕС) 2021/1060</w:t>
      </w:r>
    </w:p>
    <w:p w:rsidR="00106A2A" w:rsidRPr="00106A2A" w:rsidRDefault="00106A2A" w:rsidP="00106A2A">
      <w:pPr>
        <w:keepNext/>
        <w:widowControl/>
        <w:spacing w:before="600" w:after="120" w:line="360" w:lineRule="auto"/>
        <w:jc w:val="both"/>
        <w:rPr>
          <w:rFonts w:eastAsia="Calibri"/>
          <w:szCs w:val="22"/>
          <w:lang w:eastAsia="en-US"/>
        </w:rPr>
      </w:pPr>
      <w:r w:rsidRPr="00106A2A">
        <w:rPr>
          <w:rFonts w:eastAsia="Calibri"/>
          <w:szCs w:val="22"/>
          <w:lang w:eastAsia="en-US"/>
        </w:rPr>
        <w:t>ЕВРОПЕЙСКИЯТ ПАРЛАМЕНТ И СЪВЕТЪТ НА ЕВРОПЕЙСКИЯ СЪЮЗ,</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t xml:space="preserve">като взеха предвид Договора за функционирането на Европейския съюз, и по-специално член 91, параграф 1, буква г), член 192, параграф 1, член 194, параграф 2 </w:t>
      </w:r>
      <w:r w:rsidRPr="00106A2A">
        <w:rPr>
          <w:rFonts w:eastAsia="Calibri"/>
          <w:b/>
          <w:i/>
          <w:szCs w:val="22"/>
          <w:lang w:eastAsia="en-US"/>
        </w:rPr>
        <w:t xml:space="preserve">и член 322, параграф 1, буква а) </w:t>
      </w:r>
      <w:r w:rsidRPr="00106A2A">
        <w:rPr>
          <w:rFonts w:eastAsia="Calibri"/>
          <w:szCs w:val="22"/>
          <w:lang w:eastAsia="en-US"/>
        </w:rPr>
        <w:t>от него,</w:t>
      </w:r>
    </w:p>
    <w:p w:rsidR="00106A2A" w:rsidRPr="00106A2A" w:rsidRDefault="00106A2A" w:rsidP="00106A2A">
      <w:pPr>
        <w:widowControl/>
        <w:spacing w:before="120" w:after="120" w:line="360" w:lineRule="auto"/>
        <w:jc w:val="both"/>
        <w:rPr>
          <w:rFonts w:eastAsia="Calibri"/>
          <w:szCs w:val="22"/>
          <w:lang w:eastAsia="en-US"/>
        </w:rPr>
      </w:pPr>
      <w:r w:rsidRPr="00106A2A">
        <w:rPr>
          <w:rFonts w:eastAsia="Calibri"/>
          <w:szCs w:val="22"/>
          <w:lang w:eastAsia="en-US"/>
        </w:rPr>
        <w:t>като взеха предвид предложението на Европейската комисия,</w:t>
      </w:r>
    </w:p>
    <w:p w:rsidR="00106A2A" w:rsidRPr="00106A2A" w:rsidRDefault="00106A2A" w:rsidP="00106A2A">
      <w:pPr>
        <w:widowControl/>
        <w:spacing w:before="120" w:after="120" w:line="360" w:lineRule="auto"/>
        <w:jc w:val="both"/>
        <w:rPr>
          <w:rFonts w:eastAsia="Calibri"/>
          <w:szCs w:val="22"/>
          <w:lang w:eastAsia="en-US"/>
        </w:rPr>
      </w:pPr>
      <w:r w:rsidRPr="00106A2A">
        <w:rPr>
          <w:rFonts w:eastAsia="Calibri"/>
          <w:szCs w:val="22"/>
          <w:lang w:eastAsia="en-US"/>
        </w:rPr>
        <w:t>след предаване на проекта на законодателния акт на националните парламенти,</w:t>
      </w:r>
    </w:p>
    <w:p w:rsidR="00106A2A" w:rsidRPr="00106A2A" w:rsidRDefault="00106A2A" w:rsidP="00106A2A">
      <w:pPr>
        <w:widowControl/>
        <w:spacing w:before="120" w:after="120" w:line="360" w:lineRule="auto"/>
        <w:jc w:val="both"/>
        <w:rPr>
          <w:rFonts w:eastAsia="Calibri"/>
          <w:szCs w:val="22"/>
          <w:lang w:eastAsia="en-US"/>
        </w:rPr>
      </w:pPr>
      <w:r w:rsidRPr="00106A2A">
        <w:rPr>
          <w:rFonts w:eastAsia="Calibri"/>
          <w:szCs w:val="22"/>
          <w:lang w:eastAsia="en-US"/>
        </w:rPr>
        <w:t>като взеха предвид становището на Европейския икономически и социален комитет</w:t>
      </w:r>
      <w:r w:rsidRPr="00106A2A">
        <w:rPr>
          <w:rFonts w:eastAsia="Calibri"/>
          <w:b/>
          <w:szCs w:val="22"/>
          <w:vertAlign w:val="superscript"/>
          <w:lang w:eastAsia="en-US"/>
        </w:rPr>
        <w:footnoteReference w:id="1"/>
      </w:r>
      <w:r w:rsidRPr="00106A2A">
        <w:rPr>
          <w:rFonts w:eastAsia="Calibri"/>
          <w:szCs w:val="22"/>
          <w:lang w:eastAsia="en-US"/>
        </w:rPr>
        <w:t>,</w:t>
      </w:r>
    </w:p>
    <w:p w:rsidR="00106A2A" w:rsidRPr="00106A2A" w:rsidRDefault="00106A2A" w:rsidP="00106A2A">
      <w:pPr>
        <w:widowControl/>
        <w:spacing w:before="120" w:after="120" w:line="360" w:lineRule="auto"/>
        <w:jc w:val="both"/>
        <w:rPr>
          <w:rFonts w:eastAsia="Calibri"/>
          <w:szCs w:val="22"/>
          <w:lang w:eastAsia="en-US"/>
        </w:rPr>
      </w:pPr>
      <w:r w:rsidRPr="00106A2A">
        <w:rPr>
          <w:rFonts w:eastAsia="Calibri"/>
          <w:szCs w:val="22"/>
          <w:lang w:eastAsia="en-US"/>
        </w:rPr>
        <w:t>като взеха предвид становището на Комитета на регионите</w:t>
      </w:r>
      <w:r w:rsidRPr="00106A2A">
        <w:rPr>
          <w:rFonts w:eastAsia="Calibri"/>
          <w:b/>
          <w:szCs w:val="22"/>
          <w:vertAlign w:val="superscript"/>
          <w:lang w:eastAsia="en-US"/>
        </w:rPr>
        <w:footnoteReference w:id="2"/>
      </w:r>
      <w:r w:rsidRPr="00106A2A">
        <w:rPr>
          <w:rFonts w:eastAsia="Calibri"/>
          <w:szCs w:val="22"/>
          <w:lang w:eastAsia="en-US"/>
        </w:rPr>
        <w:t>,</w:t>
      </w:r>
    </w:p>
    <w:p w:rsidR="00106A2A" w:rsidRPr="00106A2A" w:rsidRDefault="00106A2A" w:rsidP="00106A2A">
      <w:pPr>
        <w:widowControl/>
        <w:spacing w:before="120" w:after="120" w:line="360" w:lineRule="auto"/>
        <w:jc w:val="both"/>
        <w:rPr>
          <w:rFonts w:eastAsia="Calibri"/>
          <w:szCs w:val="22"/>
          <w:lang w:eastAsia="en-US"/>
        </w:rPr>
      </w:pPr>
      <w:r w:rsidRPr="00106A2A">
        <w:rPr>
          <w:rFonts w:eastAsia="Calibri"/>
          <w:szCs w:val="22"/>
          <w:lang w:eastAsia="en-US"/>
        </w:rPr>
        <w:t>в съответствие с обикновената законодателна процедура</w:t>
      </w:r>
      <w:r w:rsidRPr="00106A2A">
        <w:rPr>
          <w:rFonts w:eastAsia="Calibri"/>
          <w:b/>
          <w:szCs w:val="22"/>
          <w:vertAlign w:val="superscript"/>
          <w:lang w:eastAsia="en-US"/>
        </w:rPr>
        <w:footnoteReference w:id="3"/>
      </w:r>
      <w:r w:rsidRPr="00106A2A">
        <w:rPr>
          <w:rFonts w:eastAsia="Calibri"/>
          <w:szCs w:val="22"/>
          <w:lang w:eastAsia="en-US"/>
        </w:rPr>
        <w:t>,</w:t>
      </w:r>
    </w:p>
    <w:p w:rsidR="00106A2A" w:rsidRPr="00106A2A" w:rsidRDefault="00106A2A" w:rsidP="00106A2A">
      <w:pPr>
        <w:widowControl/>
        <w:spacing w:before="120" w:after="120" w:line="360" w:lineRule="auto"/>
        <w:jc w:val="both"/>
        <w:rPr>
          <w:rFonts w:eastAsia="Calibri"/>
          <w:szCs w:val="22"/>
          <w:lang w:eastAsia="en-US"/>
        </w:rPr>
      </w:pPr>
      <w:r w:rsidRPr="00106A2A">
        <w:rPr>
          <w:rFonts w:eastAsia="Calibri"/>
          <w:szCs w:val="22"/>
          <w:lang w:eastAsia="en-US"/>
        </w:rPr>
        <w:t>като имат предвид, че:</w:t>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br w:type="page"/>
        <w:t>(1)</w:t>
      </w:r>
      <w:r w:rsidRPr="00106A2A">
        <w:rPr>
          <w:rFonts w:eastAsia="Calibri"/>
          <w:szCs w:val="22"/>
          <w:lang w:eastAsia="en-US"/>
        </w:rPr>
        <w:tab/>
        <w:t>Парижкото споразумение</w:t>
      </w:r>
      <w:r w:rsidRPr="00106A2A">
        <w:rPr>
          <w:rFonts w:eastAsia="Calibri"/>
          <w:b/>
          <w:szCs w:val="22"/>
          <w:vertAlign w:val="superscript"/>
          <w:lang w:eastAsia="en-US"/>
        </w:rPr>
        <w:footnoteReference w:id="4"/>
      </w:r>
      <w:r w:rsidRPr="00106A2A">
        <w:rPr>
          <w:rFonts w:eastAsia="Calibri"/>
          <w:szCs w:val="22"/>
          <w:lang w:eastAsia="en-US"/>
        </w:rPr>
        <w:t xml:space="preserve">, </w:t>
      </w:r>
      <w:r w:rsidRPr="00106A2A">
        <w:rPr>
          <w:rFonts w:eastAsia="Calibri"/>
          <w:b/>
          <w:i/>
          <w:szCs w:val="22"/>
          <w:lang w:eastAsia="en-US"/>
        </w:rPr>
        <w:t>прието на 12</w:t>
      </w:r>
      <w:r w:rsidRPr="00106A2A">
        <w:rPr>
          <w:rFonts w:eastAsia="Calibri"/>
          <w:szCs w:val="22"/>
          <w:lang w:eastAsia="en-US"/>
        </w:rPr>
        <w:t xml:space="preserve"> декември 2015 г. съгласно Рамковата конвенция на Организацията на обединените нации по изменението на климата (РКООНИК) (наричано по-нататък „Парижкото споразумение“), влезе в сила </w:t>
      </w:r>
      <w:r w:rsidRPr="00106A2A">
        <w:rPr>
          <w:rFonts w:eastAsia="Calibri"/>
          <w:b/>
          <w:i/>
          <w:szCs w:val="22"/>
          <w:lang w:eastAsia="en-US"/>
        </w:rPr>
        <w:t>на 4</w:t>
      </w:r>
      <w:r w:rsidRPr="00106A2A">
        <w:rPr>
          <w:rFonts w:eastAsia="Calibri"/>
          <w:szCs w:val="22"/>
          <w:lang w:eastAsia="en-US"/>
        </w:rPr>
        <w:t> ноември 2016 г. Страните по Парижкото споразумение се споразумяха да задържат покачването на средната температура в световен мащаб значително под 2°C над нивата от прединдустриалния период и да продължат усилията за ограничаване на покачването на температурата до 1,5°C над нивата от прединдустриалния период.</w:t>
      </w:r>
      <w:r w:rsidRPr="00106A2A">
        <w:rPr>
          <w:rFonts w:eastAsia="Calibri"/>
          <w:b/>
          <w:i/>
          <w:szCs w:val="22"/>
          <w:lang w:eastAsia="en-US"/>
        </w:rPr>
        <w:t xml:space="preserve"> Този ангажимент беше подсилен с приемането съгласно РКООНИК на Пакта за климата от Глазгоу на 13 ноември 2021 г., в който Конференцията на страните по РКООНИК, изпълняваща функциите на събрание на страните по Парижкото споразумение, признава, че последиците от изменението на климата ще бъдат много по-малки при покачване на температурата с 1,5°C в сравнение с 2°C, и изразява решимост да продължи усилията за ограничаване на покачването на температурата до 1,5°C.</w:t>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t>(2)</w:t>
      </w:r>
      <w:r w:rsidRPr="00106A2A">
        <w:rPr>
          <w:rFonts w:eastAsia="Calibri"/>
          <w:szCs w:val="22"/>
          <w:lang w:eastAsia="en-US"/>
        </w:rPr>
        <w:tab/>
        <w:t xml:space="preserve">В съобщението на Комисията от 11 декември 2019 г., озаглавено „Европейският зелен пакт“ (наричан по-нататък „Европейският зелен пакт“), се определя нова стратегия за растеж, която има за цел превръщането на Съюза в устойчиво, справедливо и благоденстващо общество с модерна, ресурсно ефективна и конкурентоспособна икономика, в която </w:t>
      </w:r>
      <w:r w:rsidRPr="00106A2A">
        <w:rPr>
          <w:rFonts w:eastAsia="Calibri"/>
          <w:b/>
          <w:i/>
          <w:szCs w:val="22"/>
          <w:lang w:eastAsia="en-US"/>
        </w:rPr>
        <w:t xml:space="preserve">най-късно </w:t>
      </w:r>
      <w:r w:rsidRPr="00106A2A">
        <w:rPr>
          <w:rFonts w:eastAsia="Calibri"/>
          <w:szCs w:val="22"/>
          <w:lang w:eastAsia="en-US"/>
        </w:rPr>
        <w:t>до 2050 г. няма да има нетни емисии на парникови газове и икономическият растеж няма да зависи от използването на ресурси. С Европейския зелен пакт се цели също така</w:t>
      </w:r>
      <w:r w:rsidRPr="00106A2A">
        <w:rPr>
          <w:rFonts w:eastAsia="Calibri"/>
          <w:b/>
          <w:i/>
          <w:szCs w:val="22"/>
          <w:lang w:eastAsia="en-US"/>
        </w:rPr>
        <w:t xml:space="preserve"> възстановяването,</w:t>
      </w:r>
      <w:r w:rsidRPr="00106A2A">
        <w:rPr>
          <w:rFonts w:eastAsia="Calibri"/>
          <w:szCs w:val="22"/>
          <w:lang w:eastAsia="en-US"/>
        </w:rPr>
        <w:t xml:space="preserve"> опазването, съхранението и увеличаването на природния капитал на Съюза, както и защитата на здравето и благосъстоянието на гражданите от свързани с околната среда рискове и въздействия. Накрая в Пакта се приема, че този преход следва да бъде справедлив и приобщаващ, като никой няма да бъде пренебрегнат.</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t>(3)</w:t>
      </w:r>
      <w:r w:rsidRPr="00106A2A">
        <w:rPr>
          <w:rFonts w:eastAsia="Calibri"/>
          <w:szCs w:val="22"/>
          <w:lang w:eastAsia="en-US"/>
        </w:rPr>
        <w:tab/>
        <w:t>С приемането на Регламент (ЕС) 2021/1119 на Европейския парламент и на Съвета</w:t>
      </w:r>
      <w:r w:rsidRPr="00106A2A">
        <w:rPr>
          <w:rFonts w:eastAsia="Calibri"/>
          <w:b/>
          <w:szCs w:val="22"/>
          <w:vertAlign w:val="superscript"/>
          <w:lang w:eastAsia="en-US"/>
        </w:rPr>
        <w:footnoteReference w:id="5"/>
      </w:r>
      <w:r w:rsidRPr="00106A2A">
        <w:rPr>
          <w:rFonts w:eastAsia="Calibri"/>
          <w:szCs w:val="22"/>
          <w:lang w:eastAsia="en-US"/>
        </w:rPr>
        <w:t xml:space="preserve"> Съюзът e заложил в законодателството целта за неутралност по отношение на климата в цялата икономика най-късно до 2050 г. и целта за постигане на отрицателни емисии след това. С посочения регламент се въвежда и обвързваща за Съюза цел до 2030 г. вътрешните нетни </w:t>
      </w:r>
      <w:r w:rsidRPr="00106A2A">
        <w:rPr>
          <w:rFonts w:eastAsia="Calibri"/>
          <w:b/>
          <w:i/>
          <w:szCs w:val="22"/>
          <w:lang w:eastAsia="en-US"/>
        </w:rPr>
        <w:t>емисии</w:t>
      </w:r>
      <w:r w:rsidRPr="00106A2A">
        <w:rPr>
          <w:rFonts w:eastAsia="Calibri"/>
          <w:szCs w:val="22"/>
          <w:lang w:eastAsia="en-US"/>
        </w:rPr>
        <w:t xml:space="preserve"> на парникови газове (емисии след приспадане на поглъщанията) да се намалят с най-малко 55 % в сравнение с нивата от 1990 г. От всички сектори на икономиката се очаква да допринесат за постигането на тази цел.</w:t>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t>(4)</w:t>
      </w:r>
      <w:r w:rsidRPr="00106A2A">
        <w:rPr>
          <w:rFonts w:eastAsia="Calibri"/>
          <w:szCs w:val="22"/>
          <w:lang w:eastAsia="en-US"/>
        </w:rPr>
        <w:tab/>
        <w:t>В заключенията на Европейския съвет от 10—11 декември 2020 г. беше одобрена обвързващата за Съюза цел за намаление на вътрешните нетни емисии на парникови газове, като същевременно беше подчертано значението на съображенията за справедливост и солидарност, като никой няма да бъде пренебрегнат. Тези заключения бяха потвърдени в заключенията на Европейския съвет от 24—25 май 2021 г., в които той прикани Комисията своевременно да представи своя законодателен пакет заедно със задълбочено изследване на неговото екологично, икономическо и социално въздействие на равнище държави членки.</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t>(5)</w:t>
      </w:r>
      <w:r w:rsidRPr="00106A2A">
        <w:rPr>
          <w:rFonts w:eastAsia="Calibri"/>
          <w:szCs w:val="22"/>
          <w:lang w:eastAsia="en-US"/>
        </w:rPr>
        <w:tab/>
      </w:r>
      <w:r w:rsidRPr="00106A2A">
        <w:rPr>
          <w:rFonts w:eastAsia="Calibri"/>
          <w:b/>
          <w:i/>
          <w:szCs w:val="22"/>
          <w:lang w:eastAsia="en-US"/>
        </w:rPr>
        <w:t xml:space="preserve">Планът за действие на Европейския стълб на социалните права, одобрен със заключенията на Европейския съвет от 24—25 юни 2021 г., извежда на преден план необходимостта от укрепване на социалните права и европейското социално измерение във всички политики на Съюза. </w:t>
      </w:r>
      <w:r w:rsidRPr="00106A2A">
        <w:rPr>
          <w:rFonts w:eastAsia="Calibri"/>
          <w:szCs w:val="22"/>
          <w:lang w:eastAsia="en-US"/>
        </w:rPr>
        <w:t>Принцип 20 на Европейския стълб на социалните права гласи, че „всеки има право на достъп до основни услуги с добро качество, включително водоснабдяване, канализация, енергия, транспорт, финансови услуги и цифрови комуникации. Следва да се осигури подкрепа на достъпа до такива услуги на нуждаещите се.“</w:t>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t>(6)</w:t>
      </w:r>
      <w:r w:rsidRPr="00106A2A">
        <w:rPr>
          <w:rFonts w:eastAsia="Calibri"/>
          <w:szCs w:val="22"/>
          <w:lang w:eastAsia="en-US"/>
        </w:rPr>
        <w:tab/>
        <w:t xml:space="preserve">С Декларацията от Порто от 8 май 2021 г. бяха потвърдени ангажиментът на Европейския съвет да работи за постигането на социална Европа, </w:t>
      </w:r>
      <w:r w:rsidRPr="00106A2A">
        <w:rPr>
          <w:rFonts w:eastAsia="Calibri"/>
          <w:b/>
          <w:i/>
          <w:szCs w:val="22"/>
          <w:lang w:eastAsia="en-US"/>
        </w:rPr>
        <w:t xml:space="preserve">като засили справедливия преход, </w:t>
      </w:r>
      <w:r w:rsidRPr="00106A2A">
        <w:rPr>
          <w:rFonts w:eastAsia="Calibri"/>
          <w:szCs w:val="22"/>
          <w:lang w:eastAsia="en-US"/>
        </w:rPr>
        <w:t>и неговата решимост да продължи да задълбочава изпълнението на Европейския стълб на социалните права на равнището на Съюза и на национално равнище, при зачитане на съответните области на компетентност и спазване на принципите на субсидиарност и пропорционалност.</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t>(7)</w:t>
      </w:r>
      <w:r w:rsidRPr="00106A2A">
        <w:rPr>
          <w:rFonts w:eastAsia="Calibri"/>
          <w:szCs w:val="22"/>
          <w:lang w:eastAsia="en-US"/>
        </w:rPr>
        <w:tab/>
        <w:t xml:space="preserve">С цел да бъде изпълнен </w:t>
      </w:r>
      <w:r w:rsidRPr="00106A2A">
        <w:rPr>
          <w:rFonts w:eastAsia="Calibri"/>
          <w:b/>
          <w:i/>
          <w:szCs w:val="22"/>
          <w:lang w:eastAsia="en-US"/>
        </w:rPr>
        <w:t>ангажиментът</w:t>
      </w:r>
      <w:r w:rsidRPr="00106A2A">
        <w:rPr>
          <w:rFonts w:eastAsia="Calibri"/>
          <w:szCs w:val="22"/>
          <w:lang w:eastAsia="en-US"/>
        </w:rPr>
        <w:t xml:space="preserve"> за неутралност по отношение на климата законодателството на Съюза в областта на климата и енергетиката беше преразгледано и изменено, за да се ускори намаляването на емисиите на парникови газове.</w:t>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t>(8)</w:t>
      </w:r>
      <w:r w:rsidRPr="00106A2A">
        <w:rPr>
          <w:rFonts w:eastAsia="Calibri"/>
          <w:szCs w:val="22"/>
          <w:lang w:eastAsia="en-US"/>
        </w:rPr>
        <w:tab/>
        <w:t>Тези изменения имат различно икономическо и социално въздействие върху различните сектори на икономиката, гражданите и държавите членки. По-специално, включването в обхвата на Директива 2003/87/ЕО на Европейския парламент и на Съвета</w:t>
      </w:r>
      <w:r w:rsidRPr="00106A2A">
        <w:rPr>
          <w:rFonts w:eastAsia="Calibri"/>
          <w:b/>
          <w:szCs w:val="22"/>
          <w:vertAlign w:val="superscript"/>
          <w:lang w:eastAsia="en-US"/>
        </w:rPr>
        <w:footnoteReference w:id="6"/>
      </w:r>
      <w:r w:rsidRPr="00106A2A">
        <w:rPr>
          <w:rFonts w:eastAsia="Calibri"/>
          <w:szCs w:val="22"/>
          <w:lang w:eastAsia="en-US"/>
        </w:rPr>
        <w:t xml:space="preserve"> на емисиите на парникови газове от сградите</w:t>
      </w:r>
      <w:r w:rsidRPr="00106A2A">
        <w:rPr>
          <w:rFonts w:eastAsia="Calibri"/>
          <w:b/>
          <w:i/>
          <w:szCs w:val="22"/>
          <w:lang w:eastAsia="en-US"/>
        </w:rPr>
        <w:t>,</w:t>
      </w:r>
      <w:r w:rsidRPr="00106A2A">
        <w:rPr>
          <w:rFonts w:eastAsia="Calibri"/>
          <w:szCs w:val="22"/>
          <w:lang w:eastAsia="en-US"/>
        </w:rPr>
        <w:t xml:space="preserve"> от автомобилния транспорт </w:t>
      </w:r>
      <w:r w:rsidRPr="00106A2A">
        <w:rPr>
          <w:rFonts w:eastAsia="Calibri"/>
          <w:b/>
          <w:i/>
          <w:szCs w:val="22"/>
          <w:lang w:eastAsia="en-US"/>
        </w:rPr>
        <w:t>и от допълнителни сектори, които съответстват на промишлени дейности, които не попадат в обхвата на приложение I към</w:t>
      </w:r>
      <w:r w:rsidRPr="00106A2A">
        <w:rPr>
          <w:rFonts w:eastAsia="Calibri"/>
          <w:b/>
          <w:bCs/>
          <w:i/>
          <w:iCs/>
          <w:szCs w:val="22"/>
          <w:lang w:eastAsia="en-US"/>
        </w:rPr>
        <w:t xml:space="preserve"> посочената директива,</w:t>
      </w:r>
      <w:r w:rsidRPr="00106A2A">
        <w:rPr>
          <w:rFonts w:eastAsia="Calibri"/>
          <w:szCs w:val="22"/>
          <w:lang w:eastAsia="en-US"/>
        </w:rPr>
        <w:t xml:space="preserve"> следва да осигури допълнителен икономически стимул за инвестиране в намаляване на потреблението на изкопаеми горива и по този начин да ускори намаляването на емисиите на парникови газове. В съчетание с други мерки това следва в средносрочен до дългосрочен план </w:t>
      </w:r>
      <w:r w:rsidRPr="00106A2A">
        <w:rPr>
          <w:rFonts w:eastAsia="Calibri"/>
          <w:b/>
          <w:i/>
          <w:szCs w:val="22"/>
          <w:lang w:eastAsia="en-US"/>
        </w:rPr>
        <w:t>да допринесе за намаляване на енергийната бедност и транспортната бедност</w:t>
      </w:r>
      <w:r w:rsidRPr="00106A2A">
        <w:rPr>
          <w:rFonts w:eastAsia="Calibri"/>
          <w:szCs w:val="22"/>
          <w:lang w:eastAsia="en-US"/>
        </w:rPr>
        <w:t>, да намали разходите за сградите и автомобилния транспорт и</w:t>
      </w:r>
      <w:r w:rsidRPr="00106A2A">
        <w:rPr>
          <w:rFonts w:eastAsia="Calibri"/>
          <w:b/>
          <w:i/>
          <w:szCs w:val="22"/>
          <w:lang w:eastAsia="en-US"/>
        </w:rPr>
        <w:t xml:space="preserve"> когато е целесъобразно,</w:t>
      </w:r>
      <w:r w:rsidRPr="00106A2A">
        <w:rPr>
          <w:rFonts w:eastAsia="Calibri"/>
          <w:szCs w:val="22"/>
          <w:lang w:eastAsia="en-US"/>
        </w:rPr>
        <w:t xml:space="preserve"> да предостави нови възможности за създаване на </w:t>
      </w:r>
      <w:r w:rsidRPr="00106A2A">
        <w:rPr>
          <w:rFonts w:eastAsia="Calibri"/>
          <w:b/>
          <w:i/>
          <w:szCs w:val="22"/>
          <w:lang w:eastAsia="en-US"/>
        </w:rPr>
        <w:t xml:space="preserve">качествени </w:t>
      </w:r>
      <w:r w:rsidRPr="00106A2A">
        <w:rPr>
          <w:rFonts w:eastAsia="Calibri"/>
          <w:szCs w:val="22"/>
          <w:lang w:eastAsia="en-US"/>
        </w:rPr>
        <w:t xml:space="preserve">работни места и </w:t>
      </w:r>
      <w:r w:rsidRPr="00106A2A">
        <w:rPr>
          <w:rFonts w:eastAsia="Calibri"/>
          <w:b/>
          <w:i/>
          <w:szCs w:val="22"/>
          <w:lang w:eastAsia="en-US"/>
        </w:rPr>
        <w:t>устойчиви инвестиции, изцяло съобразени с целите на Европейския зелен пакт</w:t>
      </w:r>
      <w:r w:rsidRPr="00106A2A">
        <w:rPr>
          <w:rFonts w:eastAsia="Calibri"/>
          <w:szCs w:val="22"/>
          <w:lang w:eastAsia="en-US"/>
        </w:rPr>
        <w:t>.</w:t>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br w:type="page"/>
        <w:t>(9)</w:t>
      </w:r>
      <w:r w:rsidRPr="00106A2A">
        <w:rPr>
          <w:rFonts w:eastAsia="Calibri"/>
          <w:szCs w:val="22"/>
          <w:lang w:eastAsia="en-US"/>
        </w:rPr>
        <w:tab/>
        <w:t>За финансирането на тези инвестиции обаче са необходими ресурси. Освен това преди такива инвестиции да бъдат направени, е вероятно да нараснат разходите на домакинствата и ползвателите на транспорт за отопление, охлаждане, приготвяне на храна и за автомобилен транспорт, тъй като доставчиците на гориво, които са обвързани със задължения съгласно системата за търговия с емисии за сградите и за автомобилния транспорт прехвърлят разходите за въглеродни емисии на потребителите.</w:t>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b/>
          <w:i/>
          <w:szCs w:val="22"/>
          <w:lang w:eastAsia="en-US"/>
        </w:rPr>
        <w:t>(10)</w:t>
      </w:r>
      <w:r w:rsidRPr="00106A2A">
        <w:rPr>
          <w:rFonts w:eastAsia="Calibri"/>
          <w:szCs w:val="22"/>
          <w:lang w:eastAsia="en-US"/>
        </w:rPr>
        <w:tab/>
      </w:r>
      <w:r w:rsidRPr="00106A2A">
        <w:rPr>
          <w:rFonts w:eastAsia="Calibri"/>
          <w:b/>
          <w:i/>
          <w:szCs w:val="22"/>
          <w:lang w:eastAsia="en-US"/>
        </w:rPr>
        <w:t>Климатичният преход ще има икономическо и социално въздействие, което е трудно да се оцени предварително. Реализирането на повишената амбиция в областта на климата ще изисква значителни публични и частни ресурси. Инвестициите в мерки за енергийна ефективност, както и в отоплителни системи, основани на енергия от възобновяеми източници, като отопление с електрически термопомпи, отопление и охлаждане на централно равнище и участие в общности за възобновяема енергия, са ефективен метод за намаляване на зависимостта от внос и на емисиите, като същевременно се повишава издръжливостта на Съюза. Необходимо е специално финансиране в подкрепа на уязвимите домакинства, уязвимите микропредприятия и уязвимите ползватели на транспорт.</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709" w:hanging="709"/>
        <w:rPr>
          <w:rFonts w:eastAsia="Calibri"/>
          <w:b/>
          <w:i/>
          <w:szCs w:val="22"/>
          <w:lang w:eastAsia="en-US"/>
        </w:rPr>
      </w:pPr>
      <w:r w:rsidRPr="00106A2A">
        <w:rPr>
          <w:rFonts w:eastAsia="Calibri"/>
          <w:szCs w:val="22"/>
          <w:lang w:eastAsia="en-US"/>
        </w:rPr>
        <w:t>(11)</w:t>
      </w:r>
      <w:r w:rsidRPr="00106A2A">
        <w:rPr>
          <w:rFonts w:eastAsia="Calibri"/>
          <w:szCs w:val="22"/>
          <w:lang w:eastAsia="en-US"/>
        </w:rPr>
        <w:tab/>
        <w:t>Увеличаването на цената на изкопаемите горива може непропорционално да засегне уязвимите домакинства, уязвимите микропредприятия и уязвимите ползватели на транспорт, които изразходват по-голямата част от дохода си за електроенергия и транспорт, които в определени райони нямат достъп до алтернативни, финансово достъпни решения за мобилност и транспорт и които може да нямат финансов капацитет да инвестират в намаляване на потреблението на изкопаеми горива.</w:t>
      </w:r>
      <w:r w:rsidRPr="00106A2A">
        <w:rPr>
          <w:rFonts w:eastAsia="Calibri"/>
          <w:b/>
          <w:i/>
          <w:szCs w:val="22"/>
          <w:lang w:eastAsia="en-US"/>
        </w:rPr>
        <w:t xml:space="preserve"> Географските особености, както в случая на острови, най-отдалечени региони и територии, селски или отдалечени райони, по-малко достъпни периферни райони, планински райони или изоставащи райони, могат да окажат специфично въздействие в контекста на транспортната бедност върху уязвимостта на домакинствата, микропредприятията и ползвателите на транспорт. Поради това тези географски особености следва да бъдат взети предвид при подготвянето на мерките и инвестициите в подкрепа на уязвимите домакинства, уязвимите микропредприятия и уязвимите ползватели на транспорт, когато е приложимо и целесъобразно.</w:t>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t>(12)</w:t>
      </w:r>
      <w:r w:rsidRPr="00106A2A">
        <w:rPr>
          <w:rFonts w:eastAsia="Calibri"/>
          <w:szCs w:val="22"/>
          <w:lang w:eastAsia="en-US"/>
        </w:rPr>
        <w:tab/>
        <w:t xml:space="preserve">▌Част от приходите, генерирани от включването на сградите, </w:t>
      </w:r>
      <w:r w:rsidRPr="00106A2A">
        <w:rPr>
          <w:rFonts w:eastAsia="Calibri"/>
          <w:b/>
          <w:i/>
          <w:szCs w:val="22"/>
          <w:lang w:eastAsia="en-US"/>
        </w:rPr>
        <w:t>на автомобилния транспорт и на допълнителни сектори</w:t>
      </w:r>
      <w:r w:rsidRPr="00106A2A">
        <w:rPr>
          <w:rFonts w:eastAsia="Calibri"/>
          <w:szCs w:val="22"/>
          <w:lang w:eastAsia="en-US"/>
        </w:rPr>
        <w:t xml:space="preserve"> в приложното поле на Директива 2003/87/EО, следва да бъдат използвани за справяне със социалните последици от това включване, за да може преходът да бъде справедлив и приобщаващ и никой да не бъде пренебрегнат. </w:t>
      </w:r>
      <w:r w:rsidRPr="00106A2A">
        <w:rPr>
          <w:rFonts w:eastAsia="Calibri"/>
          <w:b/>
          <w:i/>
          <w:szCs w:val="22"/>
          <w:lang w:eastAsia="en-US"/>
        </w:rPr>
        <w:t>Общият размер на средствата по Социалния фонд за климата (наричан по-нататък „Фондът“), който се създава с настоящия регламент, следва да отразява равнището на амбиция в областта на декарбонизацията, произтичащо от включването на емисиите на парникови газове от сградите, автомобилния транспорт и допълнителни сектори в приложното поле на Директива 2003/87/ЕО.</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t>(13)</w:t>
      </w:r>
      <w:r w:rsidRPr="00106A2A">
        <w:rPr>
          <w:rFonts w:eastAsia="Calibri"/>
          <w:szCs w:val="22"/>
          <w:lang w:eastAsia="en-US"/>
        </w:rPr>
        <w:tab/>
        <w:t xml:space="preserve">Използването на част от приходите за справяне със социалните въздействия, произтичащи от включването на сградите, автомобилния транспорт и допълнителни сектори в приложното поле на Директива 2003/87/ЕО, е от още по-голямо значение с оглед на съществуващите равнища на енергийна бедност. Енергийна бедност е ситуация, в която домакинствата нямат възможност за достъп до основни енергийни услуги, които са в основата на един нормален жизнен и здравен стандарт, като </w:t>
      </w:r>
      <w:r w:rsidRPr="00106A2A">
        <w:rPr>
          <w:rFonts w:eastAsia="Calibri"/>
          <w:b/>
          <w:i/>
          <w:szCs w:val="22"/>
          <w:lang w:eastAsia="en-US"/>
        </w:rPr>
        <w:t>набавяне на достатъчно топлина чрез отопление</w:t>
      </w:r>
      <w:r w:rsidRPr="00106A2A">
        <w:rPr>
          <w:rFonts w:eastAsia="Calibri"/>
          <w:szCs w:val="22"/>
          <w:lang w:eastAsia="en-US"/>
        </w:rPr>
        <w:t xml:space="preserve">, охлаждане — при повишаване на температурите, </w:t>
      </w:r>
      <w:r w:rsidRPr="00106A2A">
        <w:rPr>
          <w:rFonts w:eastAsia="Calibri"/>
          <w:b/>
          <w:i/>
          <w:szCs w:val="22"/>
          <w:lang w:eastAsia="en-US"/>
        </w:rPr>
        <w:t xml:space="preserve">осветление и енергия за захранване на уреди. </w:t>
      </w:r>
      <w:r w:rsidRPr="00106A2A">
        <w:rPr>
          <w:rFonts w:eastAsia="Calibri"/>
          <w:szCs w:val="22"/>
          <w:lang w:eastAsia="en-US"/>
        </w:rPr>
        <w:t xml:space="preserve">В проучване от 2021 г., проведено на равнището на Съюза, </w:t>
      </w:r>
      <w:r w:rsidRPr="00106A2A">
        <w:rPr>
          <w:rFonts w:eastAsia="Calibri"/>
          <w:b/>
          <w:i/>
          <w:szCs w:val="22"/>
          <w:lang w:eastAsia="en-US"/>
        </w:rPr>
        <w:t>приблизително 34 милиона европейци, т.е. почти</w:t>
      </w:r>
      <w:r w:rsidRPr="00106A2A">
        <w:rPr>
          <w:rFonts w:eastAsia="Calibri"/>
          <w:szCs w:val="22"/>
          <w:lang w:eastAsia="en-US"/>
        </w:rPr>
        <w:t xml:space="preserve"> 6,9 % от населението на Съюза, са заявили, че не могат да си позволят да отопляват достатъчно дома си. ▌Следователно енергийната бедност е основно предизвикателство за Съюза. Въпреки че социалните тарифи или временното пряко подпомагане на доходите могат да осигурят незабавна помощ за домакинствата, изправени пред енергийна бедност </w:t>
      </w:r>
      <w:r w:rsidRPr="00106A2A">
        <w:rPr>
          <w:rFonts w:eastAsia="Calibri"/>
          <w:b/>
          <w:i/>
          <w:szCs w:val="22"/>
          <w:lang w:eastAsia="en-US"/>
        </w:rPr>
        <w:t>в краткосрочен план</w:t>
      </w:r>
      <w:r w:rsidRPr="00106A2A">
        <w:rPr>
          <w:rFonts w:eastAsia="Calibri"/>
          <w:szCs w:val="22"/>
          <w:lang w:eastAsia="en-US"/>
        </w:rPr>
        <w:t>, само целенасочени структурни мерки, по-специално</w:t>
      </w:r>
      <w:r w:rsidRPr="00106A2A">
        <w:rPr>
          <w:rFonts w:eastAsia="Calibri"/>
          <w:b/>
          <w:i/>
          <w:szCs w:val="22"/>
          <w:lang w:eastAsia="en-US"/>
        </w:rPr>
        <w:t xml:space="preserve"> саниране на сгради, включително чрез достъп до енергия от възобновяеми</w:t>
      </w:r>
      <w:r w:rsidRPr="00106A2A">
        <w:rPr>
          <w:rFonts w:eastAsia="Calibri"/>
          <w:szCs w:val="22"/>
          <w:lang w:eastAsia="en-US"/>
        </w:rPr>
        <w:t xml:space="preserve"> </w:t>
      </w:r>
      <w:r w:rsidRPr="00106A2A">
        <w:rPr>
          <w:rFonts w:eastAsia="Calibri"/>
          <w:b/>
          <w:i/>
          <w:szCs w:val="22"/>
          <w:lang w:eastAsia="en-US"/>
        </w:rPr>
        <w:t>източници и активно насърчаване на използването на възобновяемите енергийни източници, чрез мерки за информиране и повишаване на осведомеността, насочени към домакинствата, както и</w:t>
      </w:r>
      <w:r w:rsidRPr="00106A2A">
        <w:rPr>
          <w:rFonts w:eastAsia="Calibri"/>
          <w:szCs w:val="22"/>
          <w:lang w:eastAsia="en-US"/>
        </w:rPr>
        <w:t xml:space="preserve"> саниране </w:t>
      </w:r>
      <w:r w:rsidRPr="00106A2A">
        <w:rPr>
          <w:rFonts w:eastAsia="Calibri"/>
          <w:b/>
          <w:i/>
          <w:szCs w:val="22"/>
          <w:lang w:eastAsia="en-US"/>
        </w:rPr>
        <w:t>на сгради</w:t>
      </w:r>
      <w:r w:rsidRPr="00106A2A">
        <w:rPr>
          <w:rFonts w:eastAsia="Calibri"/>
          <w:szCs w:val="22"/>
          <w:lang w:eastAsia="en-US"/>
        </w:rPr>
        <w:t xml:space="preserve">, което </w:t>
      </w:r>
      <w:r w:rsidRPr="00106A2A">
        <w:rPr>
          <w:rFonts w:eastAsia="Calibri"/>
          <w:b/>
          <w:i/>
          <w:szCs w:val="22"/>
          <w:lang w:eastAsia="en-US"/>
        </w:rPr>
        <w:t>допринася за целите, установени в Директива 2010/31/ЕС на Европейския парламент и на Съвета</w:t>
      </w:r>
      <w:r w:rsidRPr="00106A2A">
        <w:rPr>
          <w:rFonts w:eastAsia="Calibri"/>
          <w:b/>
          <w:i/>
          <w:szCs w:val="22"/>
          <w:vertAlign w:val="superscript"/>
          <w:lang w:eastAsia="en-US"/>
        </w:rPr>
        <w:footnoteReference w:id="7"/>
      </w:r>
      <w:r w:rsidRPr="00106A2A">
        <w:rPr>
          <w:rFonts w:eastAsia="Calibri"/>
          <w:szCs w:val="22"/>
          <w:lang w:eastAsia="en-US"/>
        </w:rPr>
        <w:t xml:space="preserve">, могат да осигурят трайни решения </w:t>
      </w:r>
      <w:r w:rsidRPr="00106A2A">
        <w:rPr>
          <w:rFonts w:eastAsia="Calibri"/>
          <w:b/>
          <w:i/>
          <w:szCs w:val="22"/>
          <w:lang w:eastAsia="en-US"/>
        </w:rPr>
        <w:t>и ефективно да спомогнат за борбата с енергийната бедност</w:t>
      </w:r>
      <w:r w:rsidRPr="00106A2A">
        <w:rPr>
          <w:rFonts w:eastAsia="Calibri"/>
          <w:szCs w:val="22"/>
          <w:lang w:eastAsia="en-US"/>
        </w:rPr>
        <w:t>.</w:t>
      </w:r>
      <w:r w:rsidRPr="00106A2A">
        <w:rPr>
          <w:rFonts w:eastAsia="Calibri"/>
          <w:b/>
          <w:i/>
          <w:szCs w:val="22"/>
          <w:lang w:eastAsia="en-US"/>
        </w:rPr>
        <w:t xml:space="preserve"> Следва да се даде възможност определението за енергийна бедност съгласно настоящия регламент да бъде актуализирано, за да отразява резултатите от преговорите по директива на Европейския парламент и на Съвета относно енергийната ефективност (преработен текст).</w:t>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b/>
          <w:i/>
          <w:szCs w:val="22"/>
          <w:lang w:eastAsia="en-US"/>
        </w:rPr>
        <w:br w:type="page"/>
        <w:t>(14)</w:t>
      </w:r>
      <w:r w:rsidRPr="00106A2A">
        <w:rPr>
          <w:rFonts w:eastAsia="Calibri"/>
          <w:szCs w:val="22"/>
          <w:lang w:eastAsia="en-US"/>
        </w:rPr>
        <w:tab/>
      </w:r>
      <w:r w:rsidRPr="00106A2A">
        <w:rPr>
          <w:rFonts w:eastAsia="Calibri"/>
          <w:b/>
          <w:i/>
          <w:szCs w:val="22"/>
          <w:lang w:eastAsia="en-US"/>
        </w:rPr>
        <w:t>Възприемането на един цялостен подход към санирането на сгради, при който по-ефикасно да се вземат под внимание хората, изложени на риск от изключване, а именно тези, които страдат най-много от енергийна бедност в Съюза, би могло да доведе до намаляване на търсенето на енергия. Поради това подкрепата от Фонда за сектора на сградите следва да има за цел подобряване на енергийната ефективност, а оттук и намаляване на потреблението на енергия за всяко домакинство, което би било осезаемо чрез спестените средства и в резултат на това би се превърнало в средство за борба с енергийната бедност. Преразглеждането на Директива 2010/31/ЕС ще положи основите за постигането на тези цели и поради това следва да бъде взето предвид при прилагането на настоящия регламент.</w:t>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b/>
          <w:i/>
          <w:szCs w:val="22"/>
          <w:lang w:eastAsia="en-US"/>
        </w:rPr>
        <w:t>(15)</w:t>
      </w:r>
      <w:r w:rsidRPr="00106A2A">
        <w:rPr>
          <w:rFonts w:eastAsia="Calibri"/>
          <w:szCs w:val="22"/>
          <w:lang w:eastAsia="en-US"/>
        </w:rPr>
        <w:tab/>
      </w:r>
      <w:r w:rsidRPr="00106A2A">
        <w:rPr>
          <w:rFonts w:eastAsia="Calibri"/>
          <w:b/>
          <w:i/>
          <w:szCs w:val="22"/>
          <w:lang w:eastAsia="en-US"/>
        </w:rPr>
        <w:t>Тъй като за понятието „транспортна бедност“ все още няма определение на равнището на Съюза, за целите на настоящия регламент следва да бъде въведено такова определение. Транспортната бедност би могла да се превърне в още по-належащ проблем, както се признава в Препоръката на Съвета от 16 юни 2022 г. относно гарантирането на справедлив преход към неутралност по отношение на климата</w:t>
      </w:r>
      <w:r w:rsidRPr="00106A2A">
        <w:rPr>
          <w:rFonts w:eastAsia="Calibri"/>
          <w:b/>
          <w:i/>
          <w:szCs w:val="22"/>
          <w:vertAlign w:val="superscript"/>
          <w:lang w:eastAsia="en-US"/>
        </w:rPr>
        <w:footnoteReference w:id="8"/>
      </w:r>
      <w:r w:rsidRPr="00106A2A">
        <w:rPr>
          <w:rFonts w:eastAsia="Calibri"/>
          <w:b/>
          <w:i/>
          <w:szCs w:val="22"/>
          <w:lang w:eastAsia="en-US"/>
        </w:rPr>
        <w:t>, и да доведе до намаляване на достъпа до основни социално-икономически дейности и услуги като заетост, образование или здравеопазване, по-специално за уязвимите лица и домакинства. Транспортната бедност обикновено се дължи на един фактор или на комбинация от фактори като ниски доходи, високи разходи за гориво или липса на финансово приемлив или достъпен частен или обществен транспорт. Транспортната бедност може да засегне по-специално физическите лица и домакинствата в селските, островните, периферните, планинските, отдалечените и по-малко достъпните райони или по-слабо развитите региони или територии, включително по-слабо развитите крайградски райони и най-отдалечените региони.</w:t>
      </w:r>
    </w:p>
    <w:p w:rsidR="00106A2A" w:rsidRPr="00106A2A" w:rsidRDefault="00106A2A" w:rsidP="00106A2A">
      <w:pPr>
        <w:widowControl/>
        <w:spacing w:before="120" w:after="120" w:line="360" w:lineRule="auto"/>
        <w:ind w:left="709" w:hanging="709"/>
        <w:rPr>
          <w:rFonts w:eastAsia="Calibri"/>
          <w:b/>
          <w:i/>
          <w:szCs w:val="22"/>
          <w:lang w:eastAsia="en-US"/>
        </w:rPr>
      </w:pPr>
      <w:r w:rsidRPr="00106A2A">
        <w:rPr>
          <w:rFonts w:eastAsia="Calibri"/>
          <w:szCs w:val="22"/>
          <w:lang w:eastAsia="en-US"/>
        </w:rPr>
        <w:br w:type="page"/>
        <w:t>(16)</w:t>
      </w:r>
      <w:r w:rsidRPr="00106A2A">
        <w:rPr>
          <w:rFonts w:eastAsia="Calibri"/>
          <w:szCs w:val="22"/>
          <w:lang w:eastAsia="en-US"/>
        </w:rPr>
        <w:tab/>
      </w:r>
      <w:r w:rsidRPr="00106A2A">
        <w:rPr>
          <w:rFonts w:eastAsia="Calibri"/>
          <w:b/>
          <w:i/>
          <w:szCs w:val="22"/>
          <w:lang w:eastAsia="en-US"/>
        </w:rPr>
        <w:t>Фондът</w:t>
      </w:r>
      <w:r w:rsidRPr="00106A2A">
        <w:rPr>
          <w:rFonts w:eastAsia="Calibri"/>
          <w:szCs w:val="22"/>
          <w:lang w:eastAsia="en-US"/>
        </w:rPr>
        <w:t xml:space="preserve"> следва да бъде създаден, за да осигурява финансови средства за държавите членки в помощ на техните политики за справяне със социалните последици за уязвимите домакинства, уязвимите микропредприятия и уязвимите ползватели на транспорт вследствие на </w:t>
      </w:r>
      <w:r w:rsidRPr="00106A2A">
        <w:rPr>
          <w:rFonts w:eastAsia="Calibri"/>
          <w:b/>
          <w:i/>
          <w:szCs w:val="22"/>
          <w:lang w:eastAsia="en-US"/>
        </w:rPr>
        <w:t>въвеждането на</w:t>
      </w:r>
      <w:r w:rsidRPr="00106A2A">
        <w:rPr>
          <w:rFonts w:eastAsia="Calibri"/>
          <w:szCs w:val="22"/>
          <w:lang w:eastAsia="en-US"/>
        </w:rPr>
        <w:t xml:space="preserve"> системата за търговия с емисии за сградите и за автомобилния транспорт. Това следва да се постигне по-специално чрез временно пряко подпомагане на доходите и мерки и инвестиции, предвидени за намаляване на зависимостта от изкопаеми горива чрез повишена енергийна ефективност на сградите, декарбонизация на тяхното отопление и охлаждане, </w:t>
      </w:r>
      <w:r w:rsidRPr="00106A2A">
        <w:rPr>
          <w:rFonts w:eastAsia="Calibri"/>
          <w:b/>
          <w:i/>
          <w:szCs w:val="22"/>
          <w:lang w:eastAsia="en-US"/>
        </w:rPr>
        <w:t>независимо от това кой е собственик на сградите</w:t>
      </w:r>
      <w:r w:rsidRPr="00106A2A">
        <w:rPr>
          <w:rFonts w:eastAsia="Calibri"/>
          <w:szCs w:val="22"/>
          <w:lang w:eastAsia="en-US"/>
        </w:rPr>
        <w:t>, включително интегрирането на енергия от възобновяеми източници, и чрез осигуряване на по-широк достъп до мобилност и транспорт с нулеви и с ниски емисии в полза на уязвимите домакинства, уязвимите микропредприятия и уязвимите ползватели на транспорт.</w:t>
      </w:r>
      <w:r w:rsidRPr="00106A2A">
        <w:rPr>
          <w:rFonts w:eastAsia="Calibri"/>
          <w:b/>
          <w:i/>
          <w:szCs w:val="22"/>
          <w:lang w:eastAsia="en-US"/>
        </w:rPr>
        <w:t xml:space="preserve"> Необходимо е да се обърне внимание на различните форми на жилища под наем, включително тези на частния пазар за отдаване под наем. Сред мерките могат да бъдат включени финансова подкрепа или фискални стимули, например приспадане на разходите за саниране от наема, за да се вземат предвид наемателите и хората, живеещи в социални жилища.</w:t>
      </w:r>
    </w:p>
    <w:p w:rsidR="00106A2A" w:rsidRPr="00106A2A" w:rsidRDefault="00106A2A" w:rsidP="00106A2A">
      <w:pPr>
        <w:widowControl/>
        <w:spacing w:before="120" w:after="120" w:line="360" w:lineRule="auto"/>
        <w:rPr>
          <w:rFonts w:eastAsia="Calibri"/>
          <w:szCs w:val="22"/>
          <w:lang w:eastAsia="en-US"/>
        </w:rPr>
      </w:pPr>
      <w:r w:rsidRPr="00106A2A">
        <w:rPr>
          <w:rFonts w:eastAsia="Calibri"/>
          <w:b/>
          <w:i/>
          <w:szCs w:val="22"/>
          <w:lang w:eastAsia="en-US"/>
        </w:rPr>
        <w:br w:type="page"/>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t>(17)</w:t>
      </w:r>
      <w:r w:rsidRPr="00106A2A">
        <w:rPr>
          <w:rFonts w:eastAsia="Calibri"/>
          <w:szCs w:val="22"/>
          <w:lang w:eastAsia="en-US"/>
        </w:rPr>
        <w:tab/>
        <w:t>Всяка държава членка следва да представи на Комисията социален план за климата (наричан по-нататък „планът“).</w:t>
      </w:r>
      <w:r w:rsidRPr="00106A2A">
        <w:rPr>
          <w:rFonts w:eastAsia="Calibri"/>
          <w:b/>
          <w:i/>
          <w:szCs w:val="22"/>
          <w:lang w:eastAsia="en-US"/>
        </w:rPr>
        <w:t xml:space="preserve"> Плановете следва да бъдат представени до 30 юни 2025 г., за да могат да бъдат разгледани внимателно и своевременно. </w:t>
      </w:r>
      <w:r w:rsidRPr="00106A2A">
        <w:rPr>
          <w:rFonts w:eastAsia="Calibri"/>
          <w:szCs w:val="22"/>
          <w:lang w:eastAsia="en-US"/>
        </w:rPr>
        <w:t>Плановете следва да съдържат инвестиционен компонент, който да насърчава намаляването в дългосрочен план на зависимостта от изкопаеми горива, и могат да предвиждат и други мерки, включително временно пряко подпомагане на доходите, за да се намалят неблагоприятните последици върху доходите в краткосрочен план.</w:t>
      </w:r>
      <w:r w:rsidRPr="00106A2A">
        <w:rPr>
          <w:rFonts w:eastAsia="Calibri"/>
          <w:b/>
          <w:i/>
          <w:szCs w:val="22"/>
          <w:lang w:eastAsia="en-US"/>
        </w:rPr>
        <w:t xml:space="preserve"> </w:t>
      </w:r>
      <w:r w:rsidRPr="00106A2A">
        <w:rPr>
          <w:rFonts w:eastAsia="Calibri"/>
          <w:szCs w:val="22"/>
          <w:lang w:eastAsia="en-US"/>
        </w:rPr>
        <w:t>Плановете следва да имат две цели. На първо място, те следва да осигуряват на уязвимите домакинства, уязвимите микропредприятия и уязвимите ползватели на транспорт необходимите ресурси за финансиране и реализация на инвестиции в енергийна ефективност, декарбонизация на отоплението и охлаждането, в превозни средства и мобилност с нулеви и с ниски емисии</w:t>
      </w:r>
      <w:r w:rsidRPr="00106A2A">
        <w:rPr>
          <w:rFonts w:eastAsia="Calibri"/>
          <w:b/>
          <w:i/>
          <w:szCs w:val="22"/>
          <w:lang w:eastAsia="en-US"/>
        </w:rPr>
        <w:t>, включително чрез ваучери, субсидии или заеми с нулева лихва</w:t>
      </w:r>
      <w:r w:rsidRPr="00106A2A">
        <w:rPr>
          <w:rFonts w:eastAsia="Calibri"/>
          <w:szCs w:val="22"/>
          <w:lang w:eastAsia="en-US"/>
        </w:rPr>
        <w:t xml:space="preserve">. На второ място, те следва да смекчават въздействието на нарастването на цените на изкопаемите горива върху най-уязвимите и по този начин да предотвратяват възникването на енергийна и транспортна бедност през преходния период до извършването на такива инвестиции. Плановете </w:t>
      </w:r>
      <w:r w:rsidRPr="00106A2A">
        <w:rPr>
          <w:rFonts w:eastAsia="Calibri"/>
          <w:b/>
          <w:i/>
          <w:szCs w:val="22"/>
          <w:lang w:eastAsia="en-US"/>
        </w:rPr>
        <w:t>биха могли да подпомагат достъпа до финансово достъпни енергийно ефективни жилища, включително социални жилища</w:t>
      </w:r>
      <w:r w:rsidRPr="00106A2A">
        <w:rPr>
          <w:rFonts w:eastAsia="Calibri"/>
          <w:szCs w:val="22"/>
          <w:lang w:eastAsia="en-US"/>
        </w:rPr>
        <w:t>.</w:t>
      </w:r>
      <w:r w:rsidRPr="00106A2A">
        <w:rPr>
          <w:rFonts w:eastAsia="Calibri"/>
          <w:b/>
          <w:i/>
          <w:szCs w:val="22"/>
          <w:lang w:eastAsia="en-US"/>
        </w:rPr>
        <w:t xml:space="preserve"> Когато прилагат мерки в подкрепа на уязвимите ползватели на транспорт, в своите планове държавите членки следва да могат да отдават приоритет на подкрепата за превозни средства с нулеви емисии, при условие че това решение е финансово достъпно и осъществимо.</w:t>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br w:type="page"/>
        <w:t>(18)</w:t>
      </w:r>
      <w:r w:rsidRPr="00106A2A">
        <w:rPr>
          <w:rFonts w:eastAsia="Calibri"/>
          <w:szCs w:val="22"/>
          <w:lang w:eastAsia="en-US"/>
        </w:rPr>
        <w:tab/>
        <w:t xml:space="preserve">Държавите членки, като провеждат консултации с </w:t>
      </w:r>
      <w:r w:rsidRPr="00106A2A">
        <w:rPr>
          <w:rFonts w:eastAsia="Calibri"/>
          <w:b/>
          <w:i/>
          <w:szCs w:val="22"/>
          <w:lang w:eastAsia="en-US"/>
        </w:rPr>
        <w:t>местните и регионалните</w:t>
      </w:r>
      <w:r w:rsidRPr="00106A2A">
        <w:rPr>
          <w:rFonts w:eastAsia="Calibri"/>
          <w:szCs w:val="22"/>
          <w:lang w:eastAsia="en-US"/>
        </w:rPr>
        <w:t xml:space="preserve"> органи, с </w:t>
      </w:r>
      <w:r w:rsidRPr="00106A2A">
        <w:rPr>
          <w:rFonts w:eastAsia="Calibri"/>
          <w:b/>
          <w:i/>
          <w:szCs w:val="22"/>
          <w:lang w:eastAsia="en-US"/>
        </w:rPr>
        <w:t>икономическите и социалните партньори и със съответните организации на гражданското общество</w:t>
      </w:r>
      <w:r w:rsidRPr="00106A2A">
        <w:rPr>
          <w:rFonts w:eastAsia="Calibri"/>
          <w:szCs w:val="22"/>
          <w:lang w:eastAsia="en-US"/>
        </w:rPr>
        <w:t>, са в най-добрата позиция да разработват</w:t>
      </w:r>
      <w:r w:rsidRPr="00106A2A">
        <w:rPr>
          <w:rFonts w:eastAsia="Calibri"/>
          <w:b/>
          <w:i/>
          <w:szCs w:val="22"/>
          <w:lang w:eastAsia="en-US"/>
        </w:rPr>
        <w:t>, изпълняват и когато е целесъобразно, да изменят</w:t>
      </w:r>
      <w:r w:rsidRPr="00106A2A">
        <w:rPr>
          <w:rFonts w:eastAsia="Calibri"/>
          <w:szCs w:val="22"/>
          <w:lang w:eastAsia="en-US"/>
        </w:rPr>
        <w:t xml:space="preserve"> планове, адаптирани и насочени към </w:t>
      </w:r>
      <w:r w:rsidRPr="00106A2A">
        <w:rPr>
          <w:rFonts w:eastAsia="Calibri"/>
          <w:b/>
          <w:i/>
          <w:szCs w:val="22"/>
          <w:lang w:eastAsia="en-US"/>
        </w:rPr>
        <w:t>техните</w:t>
      </w:r>
      <w:r w:rsidRPr="00106A2A">
        <w:rPr>
          <w:rFonts w:eastAsia="Calibri"/>
          <w:szCs w:val="22"/>
          <w:lang w:eastAsia="en-US"/>
        </w:rPr>
        <w:t xml:space="preserve"> местни, регионални и национални особености, към съществуващите им политики в съответните области и планираното използване на други подходящи фондове на Съюза. </w:t>
      </w:r>
      <w:r w:rsidRPr="00106A2A">
        <w:rPr>
          <w:rFonts w:eastAsia="Calibri"/>
          <w:b/>
          <w:i/>
          <w:szCs w:val="22"/>
          <w:lang w:eastAsia="en-US"/>
        </w:rPr>
        <w:t xml:space="preserve">Всеки път, когато от Комисията се изисква да направи оценка на даден план, следва да се провежда обществена консултация със заинтересованите страни. </w:t>
      </w:r>
      <w:r w:rsidRPr="00106A2A">
        <w:rPr>
          <w:rFonts w:eastAsia="Calibri"/>
          <w:szCs w:val="22"/>
          <w:lang w:eastAsia="en-US"/>
        </w:rPr>
        <w:t>По този начин могат най-добре да</w:t>
      </w:r>
      <w:r w:rsidRPr="00106A2A">
        <w:rPr>
          <w:rFonts w:eastAsia="Calibri"/>
          <w:b/>
          <w:i/>
          <w:szCs w:val="22"/>
          <w:lang w:eastAsia="en-US"/>
        </w:rPr>
        <w:t xml:space="preserve"> бъдат отразени</w:t>
      </w:r>
      <w:r w:rsidRPr="00106A2A">
        <w:rPr>
          <w:rFonts w:eastAsia="Calibri"/>
          <w:szCs w:val="22"/>
          <w:lang w:eastAsia="en-US"/>
        </w:rPr>
        <w:t xml:space="preserve"> широкото разнообразие от ситуации, специфичните познания на органите на местното и регионалното самоуправление, </w:t>
      </w:r>
      <w:r w:rsidRPr="00106A2A">
        <w:rPr>
          <w:rFonts w:eastAsia="Calibri"/>
          <w:b/>
          <w:i/>
          <w:szCs w:val="22"/>
          <w:lang w:eastAsia="en-US"/>
        </w:rPr>
        <w:t>на икономическите и социалните партньори, на съответните организации на гражданското общество,</w:t>
      </w:r>
      <w:r w:rsidRPr="00106A2A">
        <w:rPr>
          <w:rFonts w:eastAsia="Calibri"/>
          <w:szCs w:val="22"/>
          <w:lang w:eastAsia="en-US"/>
        </w:rPr>
        <w:t xml:space="preserve"> </w:t>
      </w:r>
      <w:r w:rsidRPr="00106A2A">
        <w:rPr>
          <w:rFonts w:eastAsia="Calibri"/>
          <w:b/>
          <w:i/>
          <w:szCs w:val="22"/>
          <w:lang w:eastAsia="en-US"/>
        </w:rPr>
        <w:t>на институциите</w:t>
      </w:r>
      <w:r w:rsidRPr="00106A2A">
        <w:rPr>
          <w:rFonts w:eastAsia="Calibri"/>
          <w:szCs w:val="22"/>
          <w:lang w:eastAsia="en-US"/>
        </w:rPr>
        <w:t xml:space="preserve"> в сферата на научните изследвания и иновациите, на </w:t>
      </w:r>
      <w:r w:rsidRPr="00106A2A">
        <w:rPr>
          <w:rFonts w:eastAsia="Calibri"/>
          <w:b/>
          <w:i/>
          <w:szCs w:val="22"/>
          <w:lang w:eastAsia="en-US"/>
        </w:rPr>
        <w:t>заинтересованите страни</w:t>
      </w:r>
      <w:r w:rsidRPr="00106A2A">
        <w:rPr>
          <w:rFonts w:eastAsia="Calibri"/>
          <w:szCs w:val="22"/>
          <w:lang w:eastAsia="en-US"/>
        </w:rPr>
        <w:t xml:space="preserve"> от промишлеността и на </w:t>
      </w:r>
      <w:r w:rsidRPr="00106A2A">
        <w:rPr>
          <w:rFonts w:eastAsia="Calibri"/>
          <w:b/>
          <w:i/>
          <w:szCs w:val="22"/>
          <w:lang w:eastAsia="en-US"/>
        </w:rPr>
        <w:t>представителите</w:t>
      </w:r>
      <w:r w:rsidRPr="00106A2A">
        <w:rPr>
          <w:rFonts w:eastAsia="Calibri"/>
          <w:szCs w:val="22"/>
          <w:lang w:eastAsia="en-US"/>
        </w:rPr>
        <w:t xml:space="preserve"> в социалния диалог, както и националните обстоятелства, и да допринесат за ефективността и ефикасността на цялостната подкрепа за уязвимите групи.</w:t>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b/>
          <w:i/>
          <w:szCs w:val="22"/>
          <w:lang w:eastAsia="en-US"/>
        </w:rPr>
        <w:t>(19)</w:t>
      </w:r>
      <w:r w:rsidRPr="00106A2A">
        <w:rPr>
          <w:rFonts w:eastAsia="Calibri"/>
          <w:szCs w:val="22"/>
          <w:lang w:eastAsia="en-US"/>
        </w:rPr>
        <w:tab/>
      </w:r>
      <w:r w:rsidRPr="00106A2A">
        <w:rPr>
          <w:rFonts w:eastAsia="Calibri"/>
          <w:b/>
          <w:i/>
          <w:szCs w:val="22"/>
          <w:lang w:eastAsia="en-US"/>
        </w:rPr>
        <w:t>Плановете следва да бъдат изработени в тясно сътрудничество с Комисията и оформени в съответствие с предоставения образец. За да се избегне прекомерната административна тежест, държавите членки следва да имат възможност да правят незначителни корекции или да поправят технически грешки в плановете, като просто уведомяват Комисията за тези промени. За да се считат за незначителни, корекциите следва да представляват увеличение или намаление, което е по-малко от 5 % от дадена целева стойност, предвидена в плана.</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t>(20)</w:t>
      </w:r>
      <w:r w:rsidRPr="00106A2A">
        <w:rPr>
          <w:rFonts w:eastAsia="Calibri"/>
          <w:szCs w:val="22"/>
          <w:lang w:eastAsia="en-US"/>
        </w:rPr>
        <w:tab/>
        <w:t>Да се осигури специална насоченост на мерките и инвестициите към енергийно бедните домакинства или уязвимите домакинства, уязвимите микропредприятия и уязвимите ползватели на транспорт е от ключово значение за справедлив преход към неутралност по отношение на климата. Мерките за подкрепа с цел да се допринесе за намаление на емисиите на парникови газове следва да помогнат на държавите членки да се справят със социалните последици от търговията с емисии в секторите на сградите и на автомобилния транспорт.</w:t>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t>(21)</w:t>
      </w:r>
      <w:r w:rsidRPr="00106A2A">
        <w:rPr>
          <w:rFonts w:eastAsia="Calibri"/>
          <w:szCs w:val="22"/>
          <w:lang w:eastAsia="en-US"/>
        </w:rPr>
        <w:tab/>
        <w:t xml:space="preserve">Докато се чака въздействието на посочените инвестиции върху намаляването на разходите и емисиите, добре насоченото пряко подпомагане на доходите за </w:t>
      </w:r>
      <w:r w:rsidRPr="00106A2A">
        <w:rPr>
          <w:rFonts w:eastAsia="Calibri"/>
          <w:b/>
          <w:i/>
          <w:szCs w:val="22"/>
          <w:lang w:eastAsia="en-US"/>
        </w:rPr>
        <w:t>уязвимите домакинства и уязвимите ползватели на транспорт</w:t>
      </w:r>
      <w:r w:rsidRPr="00106A2A">
        <w:rPr>
          <w:rFonts w:eastAsia="Calibri"/>
          <w:szCs w:val="22"/>
          <w:lang w:eastAsia="en-US"/>
        </w:rPr>
        <w:t xml:space="preserve"> ще </w:t>
      </w:r>
      <w:r w:rsidRPr="00106A2A">
        <w:rPr>
          <w:rFonts w:eastAsia="Calibri"/>
          <w:b/>
          <w:i/>
          <w:szCs w:val="22"/>
          <w:lang w:eastAsia="en-US"/>
        </w:rPr>
        <w:t>допринесе за намаляване на разходите за енергия и мобилност и ще подпомогне</w:t>
      </w:r>
      <w:r w:rsidRPr="00106A2A">
        <w:rPr>
          <w:rFonts w:eastAsia="Calibri"/>
          <w:szCs w:val="22"/>
          <w:lang w:eastAsia="en-US"/>
        </w:rPr>
        <w:t xml:space="preserve"> справедливия преход. </w:t>
      </w:r>
      <w:r w:rsidRPr="00106A2A">
        <w:rPr>
          <w:rFonts w:eastAsia="Calibri"/>
          <w:b/>
          <w:i/>
          <w:szCs w:val="22"/>
          <w:lang w:eastAsia="en-US"/>
        </w:rPr>
        <w:t>Прякото</w:t>
      </w:r>
      <w:r w:rsidRPr="00106A2A">
        <w:rPr>
          <w:rFonts w:eastAsia="Calibri"/>
          <w:szCs w:val="22"/>
          <w:lang w:eastAsia="en-US"/>
        </w:rPr>
        <w:t xml:space="preserve"> подпомагане </w:t>
      </w:r>
      <w:r w:rsidRPr="00106A2A">
        <w:rPr>
          <w:rFonts w:eastAsia="Calibri"/>
          <w:b/>
          <w:i/>
          <w:szCs w:val="22"/>
          <w:lang w:eastAsia="en-US"/>
        </w:rPr>
        <w:t>на доходите</w:t>
      </w:r>
      <w:r w:rsidRPr="00106A2A">
        <w:rPr>
          <w:rFonts w:eastAsia="Calibri"/>
          <w:szCs w:val="22"/>
          <w:lang w:eastAsia="en-US"/>
        </w:rPr>
        <w:t xml:space="preserve"> следва да се смята за временна мярка, съпътстваща декарбонизацията на жилищния и на транспортния сектор. То няма да е постоянно, тъй като не се бори с първопричините за енергийната и транспортната бедност. Това подпомагане следва да бъде използвано само за справяне с преките последици от включването на емисиите на парникови газове от сградите и автомобилния транспорт в приложното поле на Директива 2003/87/EО, и не следва да се използва във връзка с разходите за електроенергия или отопление, свързани с включването на производството на електроенергия и топлинна енергия в приложното поле на същата директива. Правото да се получава такова пряко подпомагане на доходите следва да бъде ограничено във времето.</w:t>
      </w:r>
      <w:r w:rsidRPr="00106A2A">
        <w:rPr>
          <w:rFonts w:eastAsia="Calibri"/>
          <w:b/>
          <w:i/>
          <w:szCs w:val="22"/>
          <w:lang w:eastAsia="en-US"/>
        </w:rPr>
        <w:t xml:space="preserve"> Получателите на пряко подпомагане на доходите следва да бъдат обект, като членове на обща група получатели, на мерки и инвестиции, насочени към ефективното извеждане на тези получатели от енергийната и транспортната бедност. Поради това плановете следва да включват пряко подпомагане на доходите, при условие че съдържат и мерки или инвестиции с трайно въздействие, насочени към уязвимите домакинства и уязвимите ползватели на транспорт, които получават пряко подпомагане на доходите.</w:t>
      </w:r>
    </w:p>
    <w:p w:rsidR="00106A2A" w:rsidRPr="00106A2A" w:rsidRDefault="00106A2A" w:rsidP="00106A2A">
      <w:pPr>
        <w:widowControl/>
        <w:spacing w:before="120" w:after="120" w:line="360" w:lineRule="auto"/>
        <w:rPr>
          <w:rFonts w:eastAsia="Calibri"/>
          <w:b/>
          <w: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b/>
          <w:i/>
          <w:szCs w:val="22"/>
          <w:lang w:eastAsia="en-US"/>
        </w:rPr>
        <w:t>(22)</w:t>
      </w:r>
      <w:r w:rsidRPr="00106A2A">
        <w:rPr>
          <w:rFonts w:eastAsia="Calibri"/>
          <w:szCs w:val="22"/>
          <w:lang w:eastAsia="en-US"/>
        </w:rPr>
        <w:tab/>
        <w:t xml:space="preserve">Държавите членки следва да повишават осведомеността сред </w:t>
      </w:r>
      <w:r w:rsidRPr="00106A2A">
        <w:rPr>
          <w:rFonts w:eastAsia="Calibri"/>
          <w:b/>
          <w:i/>
          <w:szCs w:val="22"/>
          <w:lang w:eastAsia="en-US"/>
        </w:rPr>
        <w:t>уязвимите домакинства, уязвимите микропредприятия и уязвимите ползватели на транспорт, като предоставят целенасочена, достъпна и финансово приемлива информация, образователни инициативи и съвети за разходно ефективни мерки и инвестиции, както и за наличната подкрепа, включително чрез енергийни одити на сгради и на съобразени с конкретните нужди енергийни консултации или персонализирани услуги за управление на мобилността.</w:t>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t>(23)</w:t>
      </w:r>
      <w:r w:rsidRPr="00106A2A">
        <w:rPr>
          <w:rFonts w:eastAsia="Calibri"/>
          <w:szCs w:val="22"/>
          <w:lang w:eastAsia="en-US"/>
        </w:rPr>
        <w:tab/>
        <w:t xml:space="preserve">Като се има предвид значението на борбата с изменението на климата в съответствие с ангажиментите по Парижкото споразумение и ангажимента за постигане на целите на ООН за устойчиво развитие, мерките и инвестициите съгласно настоящия регламент </w:t>
      </w:r>
      <w:r w:rsidRPr="00106A2A">
        <w:rPr>
          <w:rFonts w:eastAsia="Calibri"/>
          <w:b/>
          <w:i/>
          <w:szCs w:val="22"/>
          <w:lang w:eastAsia="en-US"/>
        </w:rPr>
        <w:t>са замислени така, че да бъдат в съответствие с</w:t>
      </w:r>
      <w:r w:rsidRPr="00106A2A">
        <w:rPr>
          <w:rFonts w:eastAsia="Calibri"/>
          <w:szCs w:val="22"/>
          <w:lang w:eastAsia="en-US"/>
        </w:rPr>
        <w:t xml:space="preserve"> целта </w:t>
      </w:r>
      <w:r w:rsidRPr="00106A2A">
        <w:rPr>
          <w:rFonts w:eastAsia="Calibri"/>
          <w:b/>
          <w:i/>
          <w:szCs w:val="22"/>
          <w:lang w:eastAsia="en-US"/>
        </w:rPr>
        <w:t>поне 30 % от общия размер на бюджета на Съюза</w:t>
      </w:r>
      <w:r w:rsidRPr="00106A2A">
        <w:rPr>
          <w:rFonts w:eastAsia="Calibri"/>
          <w:szCs w:val="22"/>
          <w:lang w:eastAsia="en-US"/>
        </w:rPr>
        <w:t xml:space="preserve"> съгласно многогодишната финансова рамка за периода 2021—2027 г., определена с Регламент (ЕС, Евратом) 2020/2093 на Съвета</w:t>
      </w:r>
      <w:r w:rsidRPr="00106A2A">
        <w:rPr>
          <w:rFonts w:eastAsia="Calibri"/>
          <w:b/>
          <w:szCs w:val="22"/>
          <w:vertAlign w:val="superscript"/>
          <w:lang w:eastAsia="en-US"/>
        </w:rPr>
        <w:footnoteReference w:id="9"/>
      </w:r>
      <w:r w:rsidRPr="00106A2A">
        <w:rPr>
          <w:rFonts w:eastAsia="Calibri"/>
          <w:szCs w:val="22"/>
          <w:lang w:eastAsia="en-US"/>
        </w:rPr>
        <w:t xml:space="preserve"> </w:t>
      </w:r>
      <w:r w:rsidRPr="00106A2A">
        <w:rPr>
          <w:rFonts w:eastAsia="Calibri"/>
          <w:b/>
          <w:i/>
          <w:szCs w:val="22"/>
          <w:lang w:eastAsia="en-US"/>
        </w:rPr>
        <w:t>(„МФР за периода 2021—2027 г.“), и от общия размер на Инструмента на Европейския съюз за възстановяване, създаден с Регламент (ЕС) 2020/2094 на Съвета</w:t>
      </w:r>
      <w:r w:rsidRPr="00106A2A">
        <w:rPr>
          <w:rFonts w:eastAsia="Calibri"/>
          <w:b/>
          <w:i/>
          <w:szCs w:val="22"/>
          <w:vertAlign w:val="superscript"/>
          <w:lang w:eastAsia="en-US"/>
        </w:rPr>
        <w:footnoteReference w:id="10"/>
      </w:r>
      <w:r w:rsidRPr="00106A2A">
        <w:rPr>
          <w:rFonts w:eastAsia="Calibri"/>
          <w:b/>
          <w:i/>
          <w:szCs w:val="22"/>
          <w:lang w:eastAsia="en-US"/>
        </w:rPr>
        <w:t>, и най-малко 37 % от общия размер на Механизма за възстановяване и устойчивост, създаден с Регламент (ЕС) 2021/241 на Европейския парламент и на Съвета</w:t>
      </w:r>
      <w:r w:rsidRPr="00106A2A">
        <w:rPr>
          <w:rFonts w:eastAsia="Calibri"/>
          <w:b/>
          <w:i/>
          <w:szCs w:val="22"/>
          <w:vertAlign w:val="superscript"/>
          <w:lang w:eastAsia="en-US"/>
        </w:rPr>
        <w:footnoteReference w:id="11"/>
      </w:r>
      <w:r w:rsidRPr="00106A2A">
        <w:rPr>
          <w:rFonts w:eastAsia="Calibri"/>
          <w:b/>
          <w:i/>
          <w:szCs w:val="22"/>
          <w:lang w:eastAsia="en-US"/>
        </w:rPr>
        <w:t xml:space="preserve">, </w:t>
      </w:r>
      <w:r w:rsidRPr="00106A2A">
        <w:rPr>
          <w:rFonts w:eastAsia="Calibri"/>
          <w:szCs w:val="22"/>
          <w:lang w:eastAsia="en-US"/>
        </w:rPr>
        <w:t xml:space="preserve">да бъдат изразходвани в подкрепа на целите в областта на климата. Мерките и инвестициите съгласно настоящия регламент са ▌същевременно замислени така, че да съответстват на амбицията </w:t>
      </w:r>
      <w:r w:rsidRPr="00106A2A">
        <w:rPr>
          <w:rFonts w:eastAsia="Calibri"/>
          <w:b/>
          <w:i/>
          <w:szCs w:val="22"/>
          <w:lang w:eastAsia="en-US"/>
        </w:rPr>
        <w:t xml:space="preserve">през 2024 г. 7,5 % от годишните разходи по МФР за периода 2021—2027 г., а през 2026 г. и 2027 г. — </w:t>
      </w:r>
      <w:r w:rsidRPr="00106A2A">
        <w:rPr>
          <w:rFonts w:eastAsia="Calibri"/>
          <w:szCs w:val="22"/>
          <w:lang w:eastAsia="en-US"/>
        </w:rPr>
        <w:t>10 % от тези разходи, да бъдат за цели, свързани с биологичното разнообразие, като се отчита съществуващото припокриване между целите по отношение на климата и по отношение на биологичното разнообразие. За тази цел методиката, определена в приложение I към Регламент (ЕС) 2021/1060 на Европейския парламент и на Съвета</w:t>
      </w:r>
      <w:r w:rsidRPr="00106A2A">
        <w:rPr>
          <w:rFonts w:eastAsia="Calibri"/>
          <w:b/>
          <w:szCs w:val="22"/>
          <w:vertAlign w:val="superscript"/>
          <w:lang w:eastAsia="en-US"/>
        </w:rPr>
        <w:footnoteReference w:id="12"/>
      </w:r>
      <w:r w:rsidRPr="00106A2A">
        <w:rPr>
          <w:rFonts w:eastAsia="Calibri"/>
          <w:szCs w:val="22"/>
          <w:lang w:eastAsia="en-US"/>
        </w:rPr>
        <w:t>, следва да се използва за проследяване на разходите на Фонда. Фондът следва да оказва подкрепа за мерки и инвестиции, които се осъществяват при пълно спазване ▌ на стандартите и приоритетите на Съюза в областта на климата и околната среда и са в съответствие с принципа за ненанасяне на значителни вреди по смисъла на член 17 от Регламент (ЕС) 2020/852 на Европейския парламент и на Съвета</w:t>
      </w:r>
      <w:r w:rsidRPr="00106A2A">
        <w:rPr>
          <w:rFonts w:eastAsia="Calibri"/>
          <w:b/>
          <w:szCs w:val="22"/>
          <w:vertAlign w:val="superscript"/>
          <w:lang w:eastAsia="en-US"/>
        </w:rPr>
        <w:footnoteReference w:id="13"/>
      </w:r>
      <w:r w:rsidRPr="00106A2A">
        <w:rPr>
          <w:rFonts w:eastAsia="Calibri"/>
          <w:szCs w:val="22"/>
          <w:lang w:eastAsia="en-US"/>
        </w:rPr>
        <w:t>. В плановете следва да се включват само такива мерки и инвестиции. Мерките за пряко подпомагане на доходите следва по правило да се разглеждат като мерки с незначително обозримо въздействие по отношение на екологичните цели и като такива следва да се смятат за съответстващи на принципа за ненанасяне на значителни вреди. Комисията следва да издаде технически насоки за държавите членки достатъчно рано преди подготовката на плановете. В насоките следва да бъде разяснено как мерките и инвестициите трябва да съответстват на принципа за ненанасяне на значителни вреди. ▌</w:t>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br w:type="page"/>
        <w:t>(24)</w:t>
      </w:r>
      <w:r w:rsidRPr="00106A2A">
        <w:rPr>
          <w:rFonts w:eastAsia="Calibri"/>
          <w:szCs w:val="22"/>
          <w:lang w:eastAsia="en-US"/>
        </w:rPr>
        <w:tab/>
        <w:t xml:space="preserve">Жените са </w:t>
      </w:r>
      <w:r w:rsidRPr="00106A2A">
        <w:rPr>
          <w:rFonts w:eastAsia="Calibri"/>
          <w:b/>
          <w:i/>
          <w:szCs w:val="22"/>
          <w:lang w:eastAsia="en-US"/>
        </w:rPr>
        <w:t>непропорционално</w:t>
      </w:r>
      <w:r w:rsidRPr="00106A2A">
        <w:rPr>
          <w:rFonts w:eastAsia="Calibri"/>
          <w:szCs w:val="22"/>
          <w:lang w:eastAsia="en-US"/>
        </w:rPr>
        <w:t xml:space="preserve"> засегнати от </w:t>
      </w:r>
      <w:r w:rsidRPr="00106A2A">
        <w:rPr>
          <w:rFonts w:eastAsia="Calibri"/>
          <w:b/>
          <w:i/>
          <w:szCs w:val="22"/>
          <w:lang w:eastAsia="en-US"/>
        </w:rPr>
        <w:t>енергийна и транспортна бедност, по</w:t>
      </w:r>
      <w:r w:rsidRPr="00106A2A">
        <w:rPr>
          <w:rFonts w:eastAsia="Calibri"/>
          <w:b/>
          <w:i/>
          <w:szCs w:val="22"/>
          <w:lang w:eastAsia="en-US"/>
        </w:rPr>
        <w:noBreakHyphen/>
        <w:t>специално самотните майки, които</w:t>
      </w:r>
      <w:r w:rsidRPr="00106A2A">
        <w:rPr>
          <w:rFonts w:eastAsia="Calibri"/>
          <w:szCs w:val="22"/>
          <w:lang w:eastAsia="en-US"/>
        </w:rPr>
        <w:t xml:space="preserve"> представляват 85 % от семействата с един родител</w:t>
      </w:r>
      <w:r w:rsidRPr="00106A2A">
        <w:rPr>
          <w:rFonts w:eastAsia="Calibri"/>
          <w:b/>
          <w:i/>
          <w:szCs w:val="22"/>
          <w:lang w:eastAsia="en-US"/>
        </w:rPr>
        <w:t>, както и необвързаните жени, жените с увреждания и възрастните жени, които живеят сами. Освен това жените имат различни и по-сложни модели на мобилност.</w:t>
      </w:r>
      <w:r w:rsidRPr="00106A2A">
        <w:rPr>
          <w:rFonts w:eastAsia="Calibri"/>
          <w:szCs w:val="22"/>
          <w:lang w:eastAsia="en-US"/>
        </w:rPr>
        <w:t xml:space="preserve"> За семействата с един родител, които имат </w:t>
      </w:r>
      <w:r w:rsidRPr="00106A2A">
        <w:rPr>
          <w:rFonts w:eastAsia="Calibri"/>
          <w:b/>
          <w:i/>
          <w:szCs w:val="22"/>
          <w:lang w:eastAsia="en-US"/>
        </w:rPr>
        <w:t>деца на издръжка</w:t>
      </w:r>
      <w:r w:rsidRPr="00106A2A">
        <w:rPr>
          <w:rFonts w:eastAsia="Calibri"/>
          <w:szCs w:val="22"/>
          <w:lang w:eastAsia="en-US"/>
        </w:rPr>
        <w:t xml:space="preserve"> рискът от детска бедност е особено висок. Равенството между половете и равните възможности за всички, всеобхватното интегриране на тези цели, както и </w:t>
      </w:r>
      <w:r w:rsidRPr="00106A2A">
        <w:rPr>
          <w:rFonts w:eastAsia="Calibri"/>
          <w:b/>
          <w:i/>
          <w:szCs w:val="22"/>
          <w:lang w:eastAsia="en-US"/>
        </w:rPr>
        <w:t>правата на достъпност за</w:t>
      </w:r>
      <w:r w:rsidRPr="00106A2A">
        <w:rPr>
          <w:rFonts w:eastAsia="Calibri"/>
          <w:szCs w:val="22"/>
          <w:lang w:eastAsia="en-US"/>
        </w:rPr>
        <w:t xml:space="preserve"> хората с увреждания следва да се </w:t>
      </w:r>
      <w:r w:rsidRPr="00106A2A">
        <w:rPr>
          <w:rFonts w:eastAsia="Calibri"/>
          <w:b/>
          <w:i/>
          <w:szCs w:val="22"/>
          <w:lang w:eastAsia="en-US"/>
        </w:rPr>
        <w:t>спазват</w:t>
      </w:r>
      <w:r w:rsidRPr="00106A2A">
        <w:rPr>
          <w:rFonts w:eastAsia="Calibri"/>
          <w:szCs w:val="22"/>
          <w:lang w:eastAsia="en-US"/>
        </w:rPr>
        <w:t xml:space="preserve"> и утвърждават през целия процес на подготовка и изпълнение на плановете, за да не бъде никой пренебрегнат.</w:t>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b/>
          <w:i/>
          <w:szCs w:val="22"/>
          <w:lang w:eastAsia="en-US"/>
        </w:rPr>
        <w:t>(25)</w:t>
      </w:r>
      <w:r w:rsidRPr="00106A2A">
        <w:rPr>
          <w:rFonts w:eastAsia="Calibri"/>
          <w:szCs w:val="22"/>
          <w:lang w:eastAsia="en-US"/>
        </w:rPr>
        <w:tab/>
      </w:r>
      <w:r w:rsidRPr="00106A2A">
        <w:rPr>
          <w:rFonts w:eastAsia="Calibri"/>
          <w:b/>
          <w:i/>
          <w:szCs w:val="22"/>
          <w:lang w:eastAsia="en-US"/>
        </w:rPr>
        <w:t>Активните клиенти, гражданските енергийни общности и търговията между партньори на възобновяема енергия могат да помогнат на държавите членки да постигнат целите на настоящия регламент чрез подход „отдолу нагоре“, иницииран от гражданите. Те овластяват и ангажират потребителите и дават възможност на определени групи битови клиенти да участват в мерки за енергийна ефективност и инвестиции, подкрепят използването на енергия от възобновяеми източници от домакинствата и същевременно допринасят за борбата с енергийната бедност. Поради това държавите членки следва да насърчават ролята на гражданските енергийни общности и на общностите за възобновяема енергия и да ги разглеждат като отговарящи на условията бенефициери на Фонда.</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t>(26)</w:t>
      </w:r>
      <w:r w:rsidRPr="00106A2A">
        <w:rPr>
          <w:rFonts w:eastAsia="Calibri"/>
          <w:szCs w:val="22"/>
          <w:lang w:eastAsia="en-US"/>
        </w:rPr>
        <w:tab/>
        <w:t xml:space="preserve">Държавите членки следва </w:t>
      </w:r>
      <w:r w:rsidRPr="00106A2A">
        <w:rPr>
          <w:rFonts w:eastAsia="Calibri"/>
          <w:b/>
          <w:i/>
          <w:szCs w:val="22"/>
          <w:lang w:eastAsia="en-US"/>
        </w:rPr>
        <w:t>да включат в плановете мерките и инвестициите, които ще бъдат финансирани, прогнозните разходи за тези мерки и инвестиции и националното участие</w:t>
      </w:r>
      <w:r w:rsidRPr="00106A2A">
        <w:rPr>
          <w:rFonts w:eastAsia="Calibri"/>
          <w:szCs w:val="22"/>
          <w:lang w:eastAsia="en-US"/>
        </w:rPr>
        <w:t>.</w:t>
      </w:r>
      <w:r w:rsidRPr="00106A2A">
        <w:rPr>
          <w:rFonts w:eastAsia="Calibri"/>
          <w:b/>
          <w:i/>
          <w:szCs w:val="22"/>
          <w:lang w:eastAsia="en-US"/>
        </w:rPr>
        <w:t xml:space="preserve"> При внасянето на своите планове държавите членки следва да представят прогнозните общи разходи без данъка върху добавената стойност (ДДС), за да се даде възможност за съпоставяне на плановете. Плановете</w:t>
      </w:r>
      <w:r w:rsidRPr="00106A2A">
        <w:rPr>
          <w:rFonts w:eastAsia="Calibri"/>
          <w:szCs w:val="22"/>
          <w:lang w:eastAsia="en-US"/>
        </w:rPr>
        <w:t xml:space="preserve"> следва да включват също така ключовите междинни цели и целевите стойности, така че да може да се оценява ефективното изпълнение на мерките и инвестициите.</w:t>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t>(27)</w:t>
      </w:r>
      <w:r w:rsidRPr="00106A2A">
        <w:rPr>
          <w:rFonts w:eastAsia="Calibri"/>
          <w:szCs w:val="22"/>
          <w:lang w:eastAsia="en-US"/>
        </w:rPr>
        <w:tab/>
        <w:t>Фондът и плановете следва да бъдат съгласувани със и да се вписват в контекста на планираните реформи и поетите ангажименти от държавите членки съгласно техните актуализирани интегрирани национални планове в областта на енергетиката и климата в съответствие с Регламент (ЕС) 2018/1999 на Европейския парламент и на Съвета</w:t>
      </w:r>
      <w:r w:rsidRPr="00106A2A">
        <w:rPr>
          <w:rFonts w:eastAsia="Calibri"/>
          <w:b/>
          <w:szCs w:val="22"/>
          <w:vertAlign w:val="superscript"/>
          <w:lang w:eastAsia="en-US"/>
        </w:rPr>
        <w:footnoteReference w:id="14"/>
      </w:r>
      <w:r w:rsidRPr="00106A2A">
        <w:rPr>
          <w:rFonts w:eastAsia="Calibri"/>
          <w:szCs w:val="22"/>
          <w:lang w:eastAsia="en-US"/>
        </w:rPr>
        <w:t xml:space="preserve">, както е предвидено в директивата на Европейския парламент и на Съвета относно енергийната ефективност (преработен текст), в Плана за действие на Европейския стълб на социалните права, в </w:t>
      </w:r>
      <w:r w:rsidRPr="00106A2A">
        <w:rPr>
          <w:rFonts w:eastAsia="Calibri"/>
          <w:b/>
          <w:i/>
          <w:szCs w:val="22"/>
          <w:lang w:eastAsia="en-US"/>
        </w:rPr>
        <w:t>програмите на политиката на сближаване в съответствие с Регламент (ЕС) 2021/1060, в териториалните планове за справедлив преход в съответствие с</w:t>
      </w:r>
      <w:r w:rsidRPr="00106A2A">
        <w:rPr>
          <w:rFonts w:eastAsia="Calibri"/>
          <w:szCs w:val="22"/>
          <w:lang w:eastAsia="en-US"/>
        </w:rPr>
        <w:t xml:space="preserve"> Регламент (ЕС) </w:t>
      </w:r>
      <w:r w:rsidRPr="00106A2A">
        <w:rPr>
          <w:rFonts w:eastAsia="Calibri"/>
          <w:b/>
          <w:i/>
          <w:szCs w:val="22"/>
          <w:lang w:eastAsia="en-US"/>
        </w:rPr>
        <w:t>2021/1056</w:t>
      </w:r>
      <w:r w:rsidRPr="00106A2A">
        <w:rPr>
          <w:rFonts w:eastAsia="Calibri"/>
          <w:szCs w:val="22"/>
          <w:lang w:eastAsia="en-US"/>
        </w:rPr>
        <w:t xml:space="preserve"> на Европейския парламент и на Съвета</w:t>
      </w:r>
      <w:r w:rsidRPr="00106A2A">
        <w:rPr>
          <w:rFonts w:eastAsia="Calibri"/>
          <w:b/>
          <w:szCs w:val="22"/>
          <w:vertAlign w:val="superscript"/>
          <w:lang w:eastAsia="en-US"/>
        </w:rPr>
        <w:footnoteReference w:id="15"/>
      </w:r>
      <w:r w:rsidRPr="00106A2A">
        <w:rPr>
          <w:rFonts w:eastAsia="Calibri"/>
          <w:szCs w:val="22"/>
          <w:lang w:eastAsia="en-US"/>
        </w:rPr>
        <w:t>,</w:t>
      </w:r>
      <w:r w:rsidRPr="00106A2A">
        <w:rPr>
          <w:rFonts w:eastAsia="Calibri"/>
          <w:b/>
          <w:i/>
          <w:szCs w:val="22"/>
          <w:lang w:eastAsia="en-US"/>
        </w:rPr>
        <w:t xml:space="preserve"> в</w:t>
      </w:r>
      <w:r w:rsidRPr="00106A2A">
        <w:rPr>
          <w:rFonts w:eastAsia="Calibri"/>
          <w:szCs w:val="22"/>
          <w:lang w:eastAsia="en-US"/>
        </w:rPr>
        <w:t xml:space="preserve"> плановете </w:t>
      </w:r>
      <w:r w:rsidRPr="00106A2A">
        <w:rPr>
          <w:rFonts w:eastAsia="Calibri"/>
          <w:b/>
          <w:i/>
          <w:szCs w:val="22"/>
          <w:lang w:eastAsia="en-US"/>
        </w:rPr>
        <w:t>за възстановяване и устойчивост в съответствие с</w:t>
      </w:r>
      <w:r w:rsidRPr="00106A2A">
        <w:rPr>
          <w:rFonts w:eastAsia="Calibri"/>
          <w:szCs w:val="22"/>
          <w:lang w:eastAsia="en-US"/>
        </w:rPr>
        <w:t xml:space="preserve"> Регламент (ЕС) </w:t>
      </w:r>
      <w:r w:rsidRPr="00106A2A">
        <w:rPr>
          <w:rFonts w:eastAsia="Calibri"/>
          <w:b/>
          <w:i/>
          <w:szCs w:val="22"/>
          <w:lang w:eastAsia="en-US"/>
        </w:rPr>
        <w:t>2021/241, в Модернизационния фонд по член 10г от Директива 2003/87/ЕО</w:t>
      </w:r>
      <w:r w:rsidRPr="00106A2A">
        <w:rPr>
          <w:rFonts w:eastAsia="Calibri"/>
          <w:szCs w:val="22"/>
          <w:lang w:eastAsia="en-US"/>
        </w:rPr>
        <w:t xml:space="preserve"> и в дългосрочните стратегии на държавите членки за саниране на сгради в съответствие с Директива 2010/31/ЕС. За да се осигури административна ефикасност, когато е приложимо, включената в плановете информация следва да е съобразена с посочените законодателни актове и планове.</w:t>
      </w:r>
    </w:p>
    <w:p w:rsidR="00106A2A" w:rsidRPr="00106A2A" w:rsidRDefault="00106A2A" w:rsidP="00106A2A">
      <w:pPr>
        <w:widowControl/>
        <w:spacing w:after="160" w:line="259" w:lineRule="auto"/>
        <w:rPr>
          <w:rFonts w:eastAsia="Calibri"/>
          <w:b/>
          <w:i/>
          <w:szCs w:val="22"/>
          <w:lang w:eastAsia="en-US"/>
        </w:rPr>
      </w:pPr>
      <w:r w:rsidRPr="00106A2A">
        <w:rPr>
          <w:rFonts w:eastAsia="Calibri"/>
          <w:b/>
          <w:i/>
          <w:szCs w:val="22"/>
          <w:lang w:eastAsia="en-US"/>
        </w:rPr>
        <w:br w:type="page"/>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b/>
          <w:i/>
          <w:szCs w:val="22"/>
          <w:lang w:eastAsia="en-US"/>
        </w:rPr>
        <w:t>(28)</w:t>
      </w:r>
      <w:r w:rsidRPr="00106A2A">
        <w:rPr>
          <w:rFonts w:eastAsia="Calibri"/>
          <w:szCs w:val="22"/>
          <w:lang w:eastAsia="en-US"/>
        </w:rPr>
        <w:tab/>
      </w:r>
      <w:r w:rsidRPr="00106A2A">
        <w:rPr>
          <w:rFonts w:eastAsia="Calibri"/>
          <w:b/>
          <w:i/>
          <w:szCs w:val="22"/>
          <w:lang w:eastAsia="en-US"/>
        </w:rPr>
        <w:t>С цел да се осигури по-ефикасно планиране държавите членки следва да посочат в своите планове последиците от отлагането на системата за търговия с емисии, установена в съответствие с глава IVa от Директива 2003/87/ЕО, съгласно член 30к от посочената директива. За тази цел цялата съответна информация, която трябва да бъде включена в плана, следва да бъде ясно разграничена, като се раздели на два сценария, а именно чрез описание и количествено определяне на необходимите корекции на мерките, инвестициите, междинните цели, целевите стойности, размера на националното участие и всеки друг относим елемент на плана.</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t>(29)</w:t>
      </w:r>
      <w:r w:rsidRPr="00106A2A">
        <w:rPr>
          <w:rFonts w:eastAsia="Calibri"/>
          <w:szCs w:val="22"/>
          <w:lang w:eastAsia="en-US"/>
        </w:rPr>
        <w:tab/>
        <w:t>Чрез Фонда Съюзът следва да подпомага държавите членки с финансови средства за изпълнение на техните планове. Плащанията от Фонда следва да са обвързани с постигането на междинните цели и целевите стойности, включени в плановете. Това ще позволи да се вземат предвид националните обстоятелства и приоритети, като същевременно се опрости финансирането и се улесни интегрирането на финансирането по линия на Фонда с други национални разходни програми и същевременно се гарантират въздействието и целостта на разходите на Съюза.</w:t>
      </w:r>
    </w:p>
    <w:p w:rsidR="00106A2A" w:rsidRPr="00106A2A" w:rsidRDefault="00106A2A" w:rsidP="00106A2A">
      <w:pPr>
        <w:widowControl/>
        <w:spacing w:before="120" w:after="120" w:line="360" w:lineRule="auto"/>
        <w:ind w:left="709" w:hanging="709"/>
        <w:rPr>
          <w:rFonts w:eastAsia="Calibri"/>
          <w:b/>
          <w:i/>
          <w:szCs w:val="22"/>
          <w:lang w:eastAsia="en-US"/>
        </w:rPr>
      </w:pPr>
      <w:r w:rsidRPr="00106A2A">
        <w:rPr>
          <w:rFonts w:eastAsia="Calibri"/>
          <w:szCs w:val="22"/>
          <w:lang w:eastAsia="en-US"/>
        </w:rPr>
        <w:t>(30)</w:t>
      </w:r>
      <w:r w:rsidRPr="00106A2A">
        <w:rPr>
          <w:rFonts w:eastAsia="Calibri"/>
          <w:szCs w:val="22"/>
          <w:lang w:eastAsia="en-US"/>
        </w:rPr>
        <w:tab/>
      </w:r>
      <w:r w:rsidRPr="00106A2A">
        <w:rPr>
          <w:rFonts w:eastAsia="Calibri"/>
          <w:b/>
          <w:i/>
          <w:szCs w:val="22"/>
          <w:lang w:eastAsia="en-US"/>
        </w:rPr>
        <w:t xml:space="preserve">Фондът следва по изключение и временно да се финансира от приходите от продажбата на търг на 50 милиона квоти съгласно член 10а, параграф 8б от Директива 2003/87/ЕО, 150 милиона квоти съгласно член 30г, параграф 3 от посочената директива и известно количество допълнителни квоти съгласно член 30г, параграф 4 от посочената </w:t>
      </w:r>
      <w:r w:rsidRPr="00106A2A">
        <w:rPr>
          <w:rFonts w:eastAsia="Calibri"/>
          <w:szCs w:val="22"/>
          <w:lang w:eastAsia="en-US"/>
        </w:rPr>
        <w:t>директива</w:t>
      </w:r>
      <w:r w:rsidRPr="00106A2A">
        <w:rPr>
          <w:rFonts w:eastAsia="Calibri"/>
          <w:b/>
          <w:i/>
          <w:szCs w:val="22"/>
          <w:lang w:eastAsia="en-US"/>
        </w:rPr>
        <w:t>, което следва да представлява външен целеви приход. По принцип за изпълнението на Фонда за</w:t>
      </w:r>
      <w:r w:rsidRPr="00106A2A">
        <w:rPr>
          <w:rFonts w:eastAsia="Calibri"/>
          <w:szCs w:val="22"/>
          <w:lang w:eastAsia="en-US"/>
        </w:rPr>
        <w:t xml:space="preserve"> периода 2026—2032 г. </w:t>
      </w:r>
      <w:r w:rsidRPr="00106A2A">
        <w:rPr>
          <w:rFonts w:eastAsia="Calibri"/>
          <w:b/>
          <w:i/>
          <w:szCs w:val="22"/>
          <w:lang w:eastAsia="en-US"/>
        </w:rPr>
        <w:t>следва да се предостави максимална сума от 65 000 000 000 EUR. Комисията трябва да осигури продажбата на търг на квоти, които попадат в обхвата на глава IVa от посочената директива. Ако системата за търговия с емисии, установена в съответствие с посочената глава, бъде отложена за 2028 г.</w:t>
      </w:r>
      <w:r w:rsidRPr="00106A2A">
        <w:rPr>
          <w:rFonts w:eastAsia="Calibri"/>
          <w:szCs w:val="22"/>
          <w:lang w:eastAsia="en-US"/>
        </w:rPr>
        <w:t xml:space="preserve"> съгласно </w:t>
      </w:r>
      <w:r w:rsidRPr="00106A2A">
        <w:rPr>
          <w:rFonts w:eastAsia="Calibri"/>
          <w:b/>
          <w:i/>
          <w:szCs w:val="22"/>
          <w:lang w:eastAsia="en-US"/>
        </w:rPr>
        <w:t>член 30к от посочената директива, максималната сума</w:t>
      </w:r>
      <w:r w:rsidRPr="00106A2A">
        <w:rPr>
          <w:rFonts w:eastAsia="Calibri"/>
          <w:szCs w:val="22"/>
          <w:lang w:eastAsia="en-US"/>
        </w:rPr>
        <w:t xml:space="preserve">, налична за изпълнението на Фонда, следва </w:t>
      </w:r>
      <w:r w:rsidRPr="00106A2A">
        <w:rPr>
          <w:rFonts w:eastAsia="Calibri"/>
          <w:b/>
          <w:i/>
          <w:szCs w:val="22"/>
          <w:lang w:eastAsia="en-US"/>
        </w:rPr>
        <w:t>да бъде 54 600 000 000 EUR</w:t>
      </w:r>
      <w:r w:rsidRPr="00106A2A">
        <w:rPr>
          <w:rFonts w:eastAsia="Calibri"/>
          <w:szCs w:val="22"/>
          <w:lang w:eastAsia="en-US"/>
        </w:rPr>
        <w:t>.</w:t>
      </w:r>
      <w:r w:rsidRPr="00106A2A">
        <w:rPr>
          <w:rFonts w:eastAsia="Calibri"/>
          <w:b/>
          <w:i/>
          <w:szCs w:val="22"/>
          <w:lang w:eastAsia="en-US"/>
        </w:rPr>
        <w:t xml:space="preserve"> Тази сума и годишните суми отрязват по-голямата потребност от финансиране в началния етап на Фонда</w:t>
      </w:r>
      <w:r w:rsidRPr="00106A2A">
        <w:rPr>
          <w:rFonts w:eastAsia="Calibri"/>
          <w:szCs w:val="22"/>
          <w:lang w:eastAsia="en-US"/>
        </w:rPr>
        <w:t>.</w:t>
      </w:r>
      <w:r w:rsidRPr="00106A2A">
        <w:rPr>
          <w:rFonts w:eastAsia="Calibri"/>
          <w:b/>
          <w:i/>
          <w:szCs w:val="22"/>
          <w:lang w:eastAsia="en-US"/>
        </w:rPr>
        <w:t xml:space="preserve"> Максималният размер на разпределените финансови средства следва да се изчисли за всяка държава членка в съответствие с методика за разпределение, предвиждаща по-специално допълнителна подкрепа за онези</w:t>
      </w:r>
      <w:r w:rsidRPr="00106A2A">
        <w:rPr>
          <w:rFonts w:eastAsia="Calibri"/>
          <w:szCs w:val="22"/>
          <w:lang w:eastAsia="en-US"/>
        </w:rPr>
        <w:t xml:space="preserve"> държави членки, </w:t>
      </w:r>
      <w:r w:rsidRPr="00106A2A">
        <w:rPr>
          <w:rFonts w:eastAsia="Calibri"/>
          <w:b/>
          <w:i/>
          <w:szCs w:val="22"/>
          <w:lang w:eastAsia="en-US"/>
        </w:rPr>
        <w:t>които са засегнати в по-голяма степен от включването</w:t>
      </w:r>
      <w:r w:rsidRPr="00106A2A">
        <w:rPr>
          <w:rFonts w:eastAsia="Calibri"/>
          <w:szCs w:val="22"/>
          <w:lang w:eastAsia="en-US"/>
        </w:rPr>
        <w:t xml:space="preserve"> на емисиите на парникови газове от </w:t>
      </w:r>
      <w:r w:rsidRPr="00106A2A">
        <w:rPr>
          <w:rFonts w:eastAsia="Calibri"/>
          <w:b/>
          <w:i/>
          <w:szCs w:val="22"/>
          <w:lang w:eastAsia="en-US"/>
        </w:rPr>
        <w:t>сградите и от автомобилния транспорт в приложното поле на Директива 2003/87/ЕО</w:t>
      </w:r>
      <w:r w:rsidRPr="00106A2A">
        <w:rPr>
          <w:rFonts w:eastAsia="Calibri"/>
          <w:szCs w:val="22"/>
          <w:lang w:eastAsia="en-US"/>
        </w:rPr>
        <w:t>.</w:t>
      </w:r>
      <w:r w:rsidRPr="00106A2A">
        <w:rPr>
          <w:rFonts w:eastAsia="Calibri"/>
          <w:b/>
          <w:i/>
          <w:szCs w:val="22"/>
          <w:lang w:eastAsia="en-US"/>
        </w:rPr>
        <w:t xml:space="preserve"> Като се има предвид, че външните целеви приходи трябва да се предоставят след продажбата на квоти на търг съгласно член 10а, параграф 8б, член 30г, параграф 3 и член 30г, параграф 4 от Директива 2003/87/ЕО, е необходимо да се предвиди дерогация от член 22, параграф 2 от Регламент (ЕС, Евратом) 2018/1046 на Европейския парламент и на Съвета</w:t>
      </w:r>
      <w:r w:rsidRPr="00106A2A">
        <w:rPr>
          <w:rFonts w:eastAsia="Calibri"/>
          <w:b/>
          <w:i/>
          <w:szCs w:val="22"/>
          <w:vertAlign w:val="superscript"/>
          <w:lang w:eastAsia="en-US"/>
        </w:rPr>
        <w:footnoteReference w:id="16"/>
      </w:r>
      <w:r w:rsidRPr="00106A2A">
        <w:rPr>
          <w:rFonts w:eastAsia="Calibri"/>
          <w:b/>
          <w:i/>
          <w:szCs w:val="22"/>
          <w:lang w:eastAsia="en-US"/>
        </w:rPr>
        <w:t>, за да се даде възможност на Съюза да поема задължения всяка година за сумите, необходими за плащанията към държавите членки, които трябва да бъдат извършени в съответствие с настоящия регламент за приемането на бюджетни кредити, съответстващи на целеви приходи.</w:t>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b/>
          <w:i/>
          <w:szCs w:val="22"/>
          <w:lang w:eastAsia="en-US"/>
        </w:rPr>
        <w:t>(31)</w:t>
      </w:r>
      <w:r w:rsidRPr="00106A2A">
        <w:rPr>
          <w:rFonts w:eastAsia="Calibri"/>
          <w:szCs w:val="22"/>
          <w:lang w:eastAsia="en-US"/>
        </w:rPr>
        <w:tab/>
      </w:r>
      <w:r w:rsidRPr="00106A2A">
        <w:rPr>
          <w:rFonts w:eastAsia="Calibri"/>
          <w:b/>
          <w:i/>
          <w:szCs w:val="22"/>
          <w:lang w:eastAsia="en-US"/>
        </w:rPr>
        <w:t>Участието на държавите членки следва да е най-малко 25 % от прогнозните общи разходи по техните планове.</w:t>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b/>
          <w:i/>
          <w:szCs w:val="22"/>
          <w:lang w:eastAsia="en-US"/>
        </w:rPr>
        <w:t>(32)</w:t>
      </w:r>
      <w:r w:rsidRPr="00106A2A">
        <w:rPr>
          <w:rFonts w:eastAsia="Calibri"/>
          <w:szCs w:val="22"/>
          <w:lang w:eastAsia="en-US"/>
        </w:rPr>
        <w:tab/>
      </w:r>
      <w:r w:rsidRPr="00106A2A">
        <w:rPr>
          <w:rFonts w:eastAsia="Calibri"/>
          <w:b/>
          <w:i/>
          <w:szCs w:val="22"/>
          <w:lang w:eastAsia="en-US"/>
        </w:rPr>
        <w:t>Бюджетните задължения следва да могат да бъдат разбити на годишни вноски, по целесъобразност. В споразуменията с държавите членки, които представляват индивидуални правни задължения, следва да се взема предвид, наред с другото, събитието, посочено в член 30к от Директива 2003/87/ЕО, което би могло да доведе до забавяне с една година на началото на търговията с емисии за сградите, за автомобилния транспорт и за допълнителни сектори. В тези споразумения следва също така да бъдат взети предвид всички потенциални финансови рискове за Съюза, които биха могли да изискват изменение на индивидуалните правни задължения поради особеностите на временното и извънредното финансиране на Фонда от външни целеви приходи, генерирани от квоти по системата за търговия с емисии.</w:t>
      </w:r>
    </w:p>
    <w:p w:rsidR="00106A2A" w:rsidRPr="00106A2A" w:rsidRDefault="00106A2A" w:rsidP="00106A2A">
      <w:pPr>
        <w:widowControl/>
        <w:spacing w:before="120" w:after="120" w:line="360" w:lineRule="auto"/>
        <w:rPr>
          <w:rFonts w:eastAsia="Calibri"/>
          <w:b/>
          <w: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b/>
          <w:i/>
          <w:szCs w:val="22"/>
          <w:lang w:eastAsia="en-US"/>
        </w:rPr>
        <w:t>(33)</w:t>
      </w:r>
      <w:r w:rsidRPr="00106A2A">
        <w:rPr>
          <w:rFonts w:eastAsia="Calibri"/>
          <w:szCs w:val="22"/>
          <w:lang w:eastAsia="en-US"/>
        </w:rPr>
        <w:tab/>
      </w:r>
      <w:r w:rsidRPr="00106A2A">
        <w:rPr>
          <w:rFonts w:eastAsia="Calibri"/>
          <w:b/>
          <w:i/>
          <w:szCs w:val="22"/>
          <w:lang w:eastAsia="en-US"/>
        </w:rPr>
        <w:t>За да се осигурят допълнителни ресурси за Фонда, държавите членки следва да могат да поискат прехвърляне на ресурси към Фонда от програмите на политиката на сближаване, изпълнявани при условията на споделено управление, създадени с Регламент (ЕС) 2021/1060, при спазване на условията, определени в посочения регламент. За да се предостави на държавите членки достатъчно гъвкавост при изпълнението на разпределените им по линия на Фонда средства, следва да бъде възможно да се прехвърлят ресурси от годишните им разпределени финансови средства към фондовете, изпълнявани при условията на споделено управление, предвидени в Регламент (ЕС) 2021/1060, до таван от 15 %. С цел да се облекчи административната тежест, произтичаща от последователни прехвърляния на ресурси от годишните им разпределени по линия на Фонда финансови средства към фондове, изпълнявани при условията на споделено управление, попадащи в приложното поле на Регламент (ЕС) 2021/1060, съответното изменение на една или повече програми следва по принцип да се изисква само веднъж, при спазване на определени условия, за да се гарантира ефективен финансов контрол. Следва да бъде възможно да се извършват допълнителни прехвърляния през следващите години чрез нотифициране на финансовите таблици пред Комисията, при условие че промените се отнасят единствено до увеличение на финансовите ресурси без допълнителни промени в съответната програма.</w:t>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br w:type="page"/>
        <w:t>(34)</w:t>
      </w:r>
      <w:r w:rsidRPr="00106A2A">
        <w:rPr>
          <w:rFonts w:eastAsia="Calibri"/>
          <w:szCs w:val="22"/>
          <w:lang w:eastAsia="en-US"/>
        </w:rPr>
        <w:tab/>
        <w:t>Фондът следва да подкрепя мерки, които зачитат принципа на допълняемост на финансирането от Съюза. Фондът не следва да замества периодичните национални разходи, освен в надлежно обосновани случаи</w:t>
      </w:r>
      <w:r w:rsidRPr="00106A2A">
        <w:rPr>
          <w:rFonts w:eastAsia="Calibri"/>
          <w:b/>
          <w:i/>
          <w:szCs w:val="22"/>
          <w:lang w:eastAsia="en-US"/>
        </w:rPr>
        <w:t>, включително за плащания на разходи за действия за техническа помощ, посочени в плановете</w:t>
      </w:r>
      <w:r w:rsidRPr="00106A2A">
        <w:rPr>
          <w:rFonts w:eastAsia="Calibri"/>
          <w:szCs w:val="22"/>
          <w:lang w:eastAsia="en-US"/>
        </w:rPr>
        <w:t>.</w:t>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t>(35)</w:t>
      </w:r>
      <w:r w:rsidRPr="00106A2A">
        <w:rPr>
          <w:rFonts w:eastAsia="Calibri"/>
          <w:szCs w:val="22"/>
          <w:lang w:eastAsia="en-US"/>
        </w:rPr>
        <w:tab/>
        <w:t>За да се гарантират ефикасното</w:t>
      </w:r>
      <w:r w:rsidRPr="00106A2A">
        <w:rPr>
          <w:rFonts w:eastAsia="Calibri"/>
          <w:b/>
          <w:i/>
          <w:szCs w:val="22"/>
          <w:lang w:eastAsia="en-US"/>
        </w:rPr>
        <w:t>, прозрачно</w:t>
      </w:r>
      <w:r w:rsidRPr="00106A2A">
        <w:rPr>
          <w:rFonts w:eastAsia="Calibri"/>
          <w:szCs w:val="22"/>
          <w:lang w:eastAsia="en-US"/>
        </w:rPr>
        <w:t xml:space="preserve"> и съгласувано разпределение на средства и спазването на принципа за доброто финансово управление, действията по настоящия регламент следва да бъдат съгласувани с текущите програми на равнището на Съюза, на национално</w:t>
      </w:r>
      <w:r w:rsidRPr="00106A2A">
        <w:rPr>
          <w:rFonts w:eastAsia="Calibri"/>
          <w:b/>
          <w:i/>
          <w:szCs w:val="22"/>
          <w:lang w:eastAsia="en-US"/>
        </w:rPr>
        <w:t xml:space="preserve"> и, когато е целесъобразно, на регионално равнище</w:t>
      </w:r>
      <w:r w:rsidRPr="00106A2A">
        <w:rPr>
          <w:rFonts w:eastAsia="Calibri"/>
          <w:szCs w:val="22"/>
          <w:lang w:eastAsia="en-US"/>
        </w:rPr>
        <w:t xml:space="preserve"> и да ги допълват, като същевременно се избягва двойното финансиране от Фонда и от други програми на Съюза за едни и същи разходи. По-специално Комисията и държавите членки следва да осигуряват ефективна координация на всички етапи от процеса, така че да се гарантират последователност, съгласуваност, взаимно допълване и полезно взаимодействие между източниците на финансиране. За тази цел държавите членки следва да бъдат задължени, когато представят на Комисията своите планове, да представят и съответната информация за съществуващо или планирано финансиране от Съюза. Финансовата подкрепа по линия на Фонда следва да допълва подкрепата, предоставяна по линия на други програми и инструменти на Съюза. Финансираните по линия на Фонда мерки и </w:t>
      </w:r>
      <w:r w:rsidRPr="00106A2A">
        <w:rPr>
          <w:rFonts w:eastAsia="Calibri"/>
          <w:b/>
          <w:i/>
          <w:szCs w:val="22"/>
          <w:lang w:eastAsia="en-US"/>
        </w:rPr>
        <w:t>инвестиции</w:t>
      </w:r>
      <w:r w:rsidRPr="00106A2A">
        <w:rPr>
          <w:rFonts w:eastAsia="Calibri"/>
          <w:szCs w:val="22"/>
          <w:lang w:eastAsia="en-US"/>
        </w:rPr>
        <w:t xml:space="preserve"> следва да могат да получават финансиране от други програми и инструменти на Съюза, при условие че тази подкрепа не покрива същите разходи.</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t>(36)</w:t>
      </w:r>
      <w:r w:rsidRPr="00106A2A">
        <w:rPr>
          <w:rFonts w:eastAsia="Calibri"/>
          <w:szCs w:val="22"/>
          <w:lang w:eastAsia="en-US"/>
        </w:rPr>
        <w:tab/>
        <w:t>Плащанията следва да се извършват въз основа на решение на Комисията, с което се одобрява изплащането на средствата на съответната държава членка. Затова е необходима дерогация от член 116, параграф 2 от Регламент (ЕС, Евратом) 2018/1046 ▌, така че срокът за плащане да може да започва да тече от датата, на която Комисията е съобщила на въпросната държава членка това решение, а не от датата на получаване на искане за плащане.</w:t>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b/>
          <w:i/>
          <w:szCs w:val="22"/>
          <w:lang w:eastAsia="en-US"/>
        </w:rPr>
        <w:t>(37)</w:t>
      </w:r>
      <w:r w:rsidRPr="00106A2A">
        <w:rPr>
          <w:rFonts w:eastAsia="Calibri"/>
          <w:szCs w:val="22"/>
          <w:lang w:eastAsia="en-US"/>
        </w:rPr>
        <w:tab/>
      </w:r>
      <w:r w:rsidRPr="00106A2A">
        <w:rPr>
          <w:rFonts w:eastAsia="Calibri"/>
          <w:b/>
          <w:i/>
          <w:szCs w:val="22"/>
          <w:lang w:eastAsia="en-US"/>
        </w:rPr>
        <w:t>След като бъде извършен анализа на всички искания за плащане, получени в рамките на даден кръг, и ако целевите приходи, предназначени за Фонда в съответствие с член 30г, параграф 4 от Директива 2003/87/ЕО, не са достатъчни за покриване на исканията за плащания, подадени от държавите членки, Комисията следва да плаща на държавите членки на пропорционална основа, за да се осигури равно третиране на държавите членки. В следващия кръг от искания за плащане Комисията следва да дава приоритет на държавите членки със забавени плащания от предходния кръг на искания за плащания и едва след това да извършва плащания по новоподадените искания за плащане.</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t>(38)</w:t>
      </w:r>
      <w:r w:rsidRPr="00106A2A">
        <w:rPr>
          <w:rFonts w:eastAsia="Calibri"/>
          <w:szCs w:val="22"/>
          <w:lang w:eastAsia="en-US"/>
        </w:rPr>
        <w:tab/>
        <w:t xml:space="preserve">За да </w:t>
      </w:r>
      <w:r w:rsidRPr="00106A2A">
        <w:rPr>
          <w:rFonts w:eastAsia="Calibri"/>
          <w:b/>
          <w:i/>
          <w:szCs w:val="22"/>
          <w:lang w:eastAsia="en-US"/>
        </w:rPr>
        <w:t>се улесни изготвянето на плановете и да</w:t>
      </w:r>
      <w:r w:rsidRPr="00106A2A">
        <w:rPr>
          <w:rFonts w:eastAsia="Calibri"/>
          <w:szCs w:val="22"/>
          <w:lang w:eastAsia="en-US"/>
        </w:rPr>
        <w:t xml:space="preserve"> се осигурят прозрачни правила за мониторинг и оценка, </w:t>
      </w:r>
      <w:r w:rsidRPr="00106A2A">
        <w:rPr>
          <w:rFonts w:eastAsia="Calibri"/>
          <w:b/>
          <w:i/>
          <w:szCs w:val="22"/>
          <w:lang w:eastAsia="en-US"/>
        </w:rPr>
        <w:t>списъкът на общите показатели и образецът</w:t>
      </w:r>
      <w:r w:rsidRPr="00106A2A">
        <w:rPr>
          <w:rFonts w:eastAsia="Calibri"/>
          <w:szCs w:val="22"/>
          <w:lang w:eastAsia="en-US"/>
        </w:rPr>
        <w:t xml:space="preserve"> за </w:t>
      </w:r>
      <w:r w:rsidRPr="00106A2A">
        <w:rPr>
          <w:rFonts w:eastAsia="Calibri"/>
          <w:b/>
          <w:i/>
          <w:szCs w:val="22"/>
          <w:lang w:eastAsia="en-US"/>
        </w:rPr>
        <w:t>плановете следва да бъдат включени в приложенията към настоящия регламент. Държавите членки следва да могат да използват относимите общи показатели за определяне на междинните цели и целевите стойности в своите планове. Списъкът на общите показатели следва да съдържа общите показатели за докладване относно напредъка и за целите на мониторинга и оценката на изпълнението на плановете и на Фонда</w:t>
      </w:r>
      <w:r w:rsidRPr="00106A2A">
        <w:rPr>
          <w:rFonts w:eastAsia="Calibri"/>
          <w:szCs w:val="22"/>
          <w:lang w:eastAsia="en-US"/>
        </w:rPr>
        <w:t>.</w:t>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t>(39)</w:t>
      </w:r>
      <w:r w:rsidRPr="00106A2A">
        <w:rPr>
          <w:rFonts w:eastAsia="Calibri"/>
          <w:szCs w:val="22"/>
          <w:lang w:eastAsia="en-US"/>
        </w:rPr>
        <w:tab/>
        <w:t xml:space="preserve">Фондът следва да се изпълнява в съответствие с принципа на доброто финансово управление, включително ефективното предотвратяване и преследване по наказателен ред на измамите, включително данъчните измами, отклонението от данъчно облагане, корупцията и конфликтите на интереси. </w:t>
      </w:r>
      <w:r w:rsidRPr="00106A2A">
        <w:rPr>
          <w:rFonts w:eastAsia="Calibri"/>
          <w:b/>
          <w:i/>
          <w:szCs w:val="22"/>
          <w:lang w:eastAsia="en-US"/>
        </w:rPr>
        <w:t>Спрямо Фонда се прилага общ режим на обвързаност с условия за защита на бюджета на Съюза в случай на нарушения на принципите на правовата държава в държавите членки, създаден с Регламент (ЕС, Евратом) 2020/2092 на Европейския парламент и на Съвета</w:t>
      </w:r>
      <w:r w:rsidRPr="00106A2A">
        <w:rPr>
          <w:rFonts w:eastAsia="Calibri"/>
          <w:b/>
          <w:i/>
          <w:szCs w:val="22"/>
          <w:vertAlign w:val="superscript"/>
          <w:lang w:eastAsia="en-US"/>
        </w:rPr>
        <w:footnoteReference w:id="17"/>
      </w:r>
      <w:r w:rsidRPr="00106A2A">
        <w:rPr>
          <w:rFonts w:eastAsia="Calibri"/>
          <w:b/>
          <w:i/>
          <w:szCs w:val="22"/>
          <w:lang w:eastAsia="en-US"/>
        </w:rPr>
        <w:t>.</w:t>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t>(40)</w:t>
      </w:r>
      <w:r w:rsidRPr="00106A2A">
        <w:rPr>
          <w:rFonts w:eastAsia="Calibri"/>
          <w:szCs w:val="22"/>
          <w:lang w:eastAsia="en-US"/>
        </w:rPr>
        <w:tab/>
        <w:t>За целите на доброто финансово управление и като същевременно се зачита основаният на резултатите характер на Фонда, следва да бъдат определени специални правила за бюджетните задължения, плащанията, спирането на плащанията и връщането на средства, както и за прекратяването на споразумения, свързани с финансова подкрепа. Държавите членки следва да предприемат подходящи мерки, за да гарантират, че използването на средствата във връзка с мерки, получаващи подкрепа от Фонда, е в съответствие с приложимото право на Съюза и национално право. Държавите членки следва да гарантират, че тази подкрепа се предоставя в съответствие с правилата на Съюза за държавната помощ, когато те са приложими. По-специално те следва да гарантират, че се предотвратяват, разкриват и коригират измамите, корупцията и конфликтите на интереси и че се избягва двойното финансиране от Фонда и от други програми на Съюза. Спирането на изпълнението на споразумения, свързани с финансова подкрепа, прекратяването на такива споразумения, както и намаляването и връщането на разпределените финансови средства следва да бъдат възможни, когато планът не е изпълнен по задоволителен начин от съответната държава членка или в случай на сериозни нередности, а именно измами, корупция и конфликти на интереси във връзка с мерките, за които се предоставя подкрепа от Фонда, или сериозно неизпълнение на задължение, произтичащо от споразуменията, свързани с финансова подкрепа</w:t>
      </w:r>
      <w:r w:rsidRPr="00106A2A">
        <w:rPr>
          <w:rFonts w:eastAsia="Calibri"/>
          <w:b/>
          <w:i/>
          <w:szCs w:val="22"/>
          <w:lang w:eastAsia="en-US"/>
        </w:rPr>
        <w:t>. В случай на прекратяване на споразумение, свързано с финансова подкрепа, или намаляване и връщане на разпределени финансови средства тези суми следва да бъдат разпределени на държавите членки до 31 декември 2033 г. в съответствие с правилата за разпределение на квотите, определени в член 30г, параграф 5 от Директива 2003/87/ЕО</w:t>
      </w:r>
      <w:r w:rsidRPr="00106A2A">
        <w:rPr>
          <w:rFonts w:eastAsia="Calibri"/>
          <w:szCs w:val="22"/>
          <w:lang w:eastAsia="en-US"/>
        </w:rPr>
        <w:t>. Следва да се въведат подходящи процедури по оспорване, за да се гарантира, че решенията на Комисията във връзка със спирането на плащания и връщането на платените суми или с прекратяването на споразумения, свързани с финансова подкрепа, зачита правото на държавите членки да представят коментари.</w:t>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t>(41)</w:t>
      </w:r>
      <w:r w:rsidRPr="00106A2A">
        <w:rPr>
          <w:rFonts w:eastAsia="Calibri"/>
          <w:szCs w:val="22"/>
          <w:lang w:eastAsia="en-US"/>
        </w:rPr>
        <w:tab/>
        <w:t>Комисията следва да гарантира, че финансовите интереси на Съюза са ефективно защитени. Въпреки че преди всичко държавата членка носи отговорност да осигури изпълнение на Фонда в съответствие със съответното право на Съюза и национално право, Комисията следва да може да получава достатъчна увереност от държавите членки в това отношение. За тази цел държавите членки следва да осигуряват функционирането на ефективна и ефикасна система за вътрешен контрол при изпълнението на Фонда и да събират недължимо платени суми или суми, които са били обект на злоупотреба. В това отношение държавите членки следва да могат да разчитат на обичайните национални системи за управление на бюджета. Държавите членки следва да събират, записват и съхраняват в електронна система стандартизирани категории данни и информация, позволяващи предотвратяването, разкриването и поправянето на сериозни нередности във връзка с мерките и инвестициите, подкрепяни от Фонда, а именно измами, корупция и конфликти на интереси. Комисията следва да предостави система за информация и мониторинг, включително единен инструмент за извличане на данни и измерване на риска, с цел получаване на достъп и анализиране на тези данни и информация</w:t>
      </w:r>
      <w:r w:rsidRPr="00106A2A">
        <w:rPr>
          <w:rFonts w:eastAsia="Calibri"/>
          <w:b/>
          <w:i/>
          <w:szCs w:val="22"/>
          <w:lang w:eastAsia="en-US"/>
        </w:rPr>
        <w:t>. Комисията следва да насърчава използването на тази система за информация и мониторинг</w:t>
      </w:r>
      <w:r w:rsidRPr="00106A2A">
        <w:rPr>
          <w:rFonts w:eastAsia="Calibri"/>
          <w:szCs w:val="22"/>
          <w:lang w:eastAsia="en-US"/>
        </w:rPr>
        <w:t xml:space="preserve"> с оглед на </w:t>
      </w:r>
      <w:r w:rsidRPr="00106A2A">
        <w:rPr>
          <w:rFonts w:eastAsia="Calibri"/>
          <w:b/>
          <w:i/>
          <w:szCs w:val="22"/>
          <w:lang w:eastAsia="en-US"/>
        </w:rPr>
        <w:t>общото</w:t>
      </w:r>
      <w:r w:rsidRPr="00106A2A">
        <w:rPr>
          <w:rFonts w:eastAsia="Calibri"/>
          <w:szCs w:val="22"/>
          <w:lang w:eastAsia="en-US"/>
        </w:rPr>
        <w:t xml:space="preserve"> прилагане от страна на ▌държавите членки.</w:t>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t>(42)</w:t>
      </w:r>
      <w:r w:rsidRPr="00106A2A">
        <w:rPr>
          <w:rFonts w:eastAsia="Calibri"/>
          <w:szCs w:val="22"/>
          <w:lang w:eastAsia="en-US"/>
        </w:rPr>
        <w:tab/>
        <w:t>Комисията, Европейската служба за борба с измамите (OLAF), Сметната палата и когато е приложимо — Европейската прокуратура, следва да могат да използват системата за информация и мониторинг в рамките на своите правомощия и права.</w:t>
      </w:r>
    </w:p>
    <w:p w:rsidR="00106A2A" w:rsidRPr="00106A2A" w:rsidRDefault="00106A2A" w:rsidP="00106A2A">
      <w:pPr>
        <w:widowControl/>
        <w:spacing w:before="120" w:after="120" w:line="312" w:lineRule="auto"/>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12" w:lineRule="auto"/>
        <w:ind w:left="709" w:hanging="709"/>
        <w:rPr>
          <w:rFonts w:eastAsia="Calibri"/>
          <w:szCs w:val="22"/>
          <w:lang w:eastAsia="en-US"/>
        </w:rPr>
      </w:pPr>
      <w:r w:rsidRPr="00106A2A">
        <w:rPr>
          <w:rFonts w:eastAsia="Calibri"/>
          <w:szCs w:val="22"/>
          <w:lang w:eastAsia="en-US"/>
        </w:rPr>
        <w:t>(43)</w:t>
      </w:r>
      <w:r w:rsidRPr="00106A2A">
        <w:rPr>
          <w:rFonts w:eastAsia="Calibri"/>
          <w:szCs w:val="22"/>
          <w:lang w:eastAsia="en-US"/>
        </w:rPr>
        <w:tab/>
        <w:t>На държавите членки и на Комисията следва да бъде разрешено да обработват лични данни само когато това е необходимо за целите на осигуряването на освобождаване от отговорност във връзка с изпълнението на бюджета, одит и контрол, информацията, комуникацията и видимостта по отношение на използването на средства във връзка с мерките за изпълнение по линия на Фонда. Личните данни следва да се обработват в съответствие с Регламент (ЕС) 2016/679 на Европейския парламент и на Съвета</w:t>
      </w:r>
      <w:r w:rsidRPr="00106A2A">
        <w:rPr>
          <w:rFonts w:eastAsia="Calibri"/>
          <w:b/>
          <w:szCs w:val="22"/>
          <w:vertAlign w:val="superscript"/>
          <w:lang w:eastAsia="en-US"/>
        </w:rPr>
        <w:footnoteReference w:id="18"/>
      </w:r>
      <w:r w:rsidRPr="00106A2A">
        <w:rPr>
          <w:rFonts w:eastAsia="Calibri"/>
          <w:szCs w:val="22"/>
          <w:lang w:eastAsia="en-US"/>
        </w:rPr>
        <w:t xml:space="preserve"> или Регламент (ЕС) 2018/1725 на Европейския парламент и на Съвета</w:t>
      </w:r>
      <w:r w:rsidRPr="00106A2A">
        <w:rPr>
          <w:rFonts w:eastAsia="Calibri"/>
          <w:b/>
          <w:szCs w:val="22"/>
          <w:vertAlign w:val="superscript"/>
          <w:lang w:eastAsia="en-US"/>
        </w:rPr>
        <w:footnoteReference w:id="19"/>
      </w:r>
      <w:r w:rsidRPr="00106A2A">
        <w:rPr>
          <w:rFonts w:eastAsia="Calibri"/>
          <w:szCs w:val="22"/>
          <w:lang w:eastAsia="en-US"/>
        </w:rPr>
        <w:t>, в зависимост от това кой от двата е приложим.</w:t>
      </w:r>
    </w:p>
    <w:p w:rsidR="00106A2A" w:rsidRPr="00106A2A" w:rsidRDefault="00106A2A" w:rsidP="00106A2A">
      <w:pPr>
        <w:widowControl/>
        <w:spacing w:before="120" w:after="120" w:line="312" w:lineRule="auto"/>
        <w:ind w:left="709" w:hanging="709"/>
        <w:rPr>
          <w:rFonts w:eastAsia="Calibri"/>
          <w:szCs w:val="22"/>
          <w:lang w:eastAsia="en-US"/>
        </w:rPr>
      </w:pPr>
      <w:r w:rsidRPr="00106A2A">
        <w:rPr>
          <w:rFonts w:eastAsia="Calibri"/>
          <w:szCs w:val="22"/>
          <w:lang w:eastAsia="en-US"/>
        </w:rPr>
        <w:t>(44)</w:t>
      </w:r>
      <w:r w:rsidRPr="00106A2A">
        <w:rPr>
          <w:rFonts w:eastAsia="Calibri"/>
          <w:szCs w:val="22"/>
          <w:lang w:eastAsia="en-US"/>
        </w:rPr>
        <w:tab/>
        <w:t>В съответствие с Регламент (ЕС, Евратом) 2018/1046, Регламент (ЕС, Евратом) № 883/2013 на Европейския парламент и на Съвета</w:t>
      </w:r>
      <w:r w:rsidRPr="00106A2A">
        <w:rPr>
          <w:rFonts w:eastAsia="Calibri"/>
          <w:b/>
          <w:szCs w:val="22"/>
          <w:vertAlign w:val="superscript"/>
          <w:lang w:eastAsia="en-US"/>
        </w:rPr>
        <w:footnoteReference w:id="20"/>
      </w:r>
      <w:r w:rsidRPr="00106A2A">
        <w:rPr>
          <w:rFonts w:eastAsia="Calibri"/>
          <w:szCs w:val="22"/>
          <w:lang w:eastAsia="en-US"/>
        </w:rPr>
        <w:t xml:space="preserve"> и регламенти (ЕО, Евратом) № 2988/95</w:t>
      </w:r>
      <w:r w:rsidRPr="00106A2A">
        <w:rPr>
          <w:rFonts w:eastAsia="Calibri"/>
          <w:b/>
          <w:szCs w:val="22"/>
          <w:vertAlign w:val="superscript"/>
          <w:lang w:eastAsia="en-US"/>
        </w:rPr>
        <w:footnoteReference w:id="21"/>
      </w:r>
      <w:r w:rsidRPr="00106A2A">
        <w:rPr>
          <w:rFonts w:eastAsia="Calibri"/>
          <w:szCs w:val="22"/>
          <w:lang w:eastAsia="en-US"/>
        </w:rPr>
        <w:t>, (Евратом, ЕО) № 2185/96</w:t>
      </w:r>
      <w:r w:rsidRPr="00106A2A">
        <w:rPr>
          <w:rFonts w:eastAsia="Calibri"/>
          <w:b/>
          <w:szCs w:val="22"/>
          <w:vertAlign w:val="superscript"/>
          <w:lang w:eastAsia="en-US"/>
        </w:rPr>
        <w:footnoteReference w:id="22"/>
      </w:r>
      <w:r w:rsidRPr="00106A2A">
        <w:rPr>
          <w:rFonts w:eastAsia="Calibri"/>
          <w:szCs w:val="22"/>
          <w:lang w:eastAsia="en-US"/>
        </w:rPr>
        <w:t xml:space="preserve"> и (ЕС) 2017/1939</w:t>
      </w:r>
      <w:r w:rsidRPr="00106A2A">
        <w:rPr>
          <w:rFonts w:eastAsia="Calibri"/>
          <w:b/>
          <w:szCs w:val="22"/>
          <w:vertAlign w:val="superscript"/>
          <w:lang w:eastAsia="en-US"/>
        </w:rPr>
        <w:footnoteReference w:id="23"/>
      </w:r>
      <w:r w:rsidRPr="00106A2A">
        <w:rPr>
          <w:rFonts w:eastAsia="Calibri"/>
          <w:szCs w:val="22"/>
          <w:lang w:eastAsia="en-US"/>
        </w:rPr>
        <w:t xml:space="preserve"> на Съвета финансовите интереси на Съюза трябва да се защитават посредством пропорционални мерки, включително посредством мерки, свързани с предотвратяване, разкриване, поправяне и разследване на измами, корупция и конфликти на интереси и когато е целесъобразно, с налагане на административни санкции. По-специално, в съответствие с регламенти (Евратом, ЕО) № 2185/96 и (ЕС, Евратом) № 883/2013 </w:t>
      </w:r>
      <w:r w:rsidRPr="00106A2A">
        <w:rPr>
          <w:rFonts w:eastAsia="Calibri"/>
          <w:szCs w:val="22"/>
          <w:lang w:eastAsia="en-US"/>
        </w:rPr>
        <w:br/>
        <w:t>OLAF има правомощия да извършва административни разследвания, включително проверки и инспекции на място, с цел установяване наличието на измами, корупция, конфликти на интереси или друга незаконна дейност, засягаща финансовите интереси на Съюза. В съответствие с Регламент (ЕС) 2017/1939 на Европейската прокуратура са предоставени правомощия да извършва разследване и наказателно преследване за измами, корупция, конфликти на интереси и други престъпления, засягащи финансовите интереси на Съюза, както е предвидено в Директива (ЕС) 2017/1371 на Европейския парламент и на Съвета</w:t>
      </w:r>
      <w:r w:rsidRPr="00106A2A">
        <w:rPr>
          <w:rFonts w:eastAsia="Calibri"/>
          <w:b/>
          <w:szCs w:val="22"/>
          <w:vertAlign w:val="superscript"/>
          <w:lang w:eastAsia="en-US"/>
        </w:rPr>
        <w:footnoteReference w:id="24"/>
      </w:r>
      <w:r w:rsidRPr="00106A2A">
        <w:rPr>
          <w:rFonts w:eastAsia="Calibri"/>
          <w:szCs w:val="22"/>
          <w:lang w:eastAsia="en-US"/>
        </w:rPr>
        <w:t>. В съответствие с Регламент (EС, Евратом) 2018/1046 всички лица или субекти, получаващи средства от Съюза, трябва да оказват пълно съдействие за защита на финансовите интереси на Съюза, да предоставят правата и достъпа, необходими на Комисията, на OLAF, на Сметната палата и по отношение на държавите членки, участващи в засилено сътрудничество съгласно Регламент (ЕС) 2017/1939, на Европейската прокуратура, и да гарантират, че всички трети лица, участващи в изпълнението на фондовете на Съюза, предоставят равностойни права.</w:t>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b/>
          <w:i/>
          <w:szCs w:val="22"/>
          <w:lang w:eastAsia="en-US"/>
        </w:rPr>
        <w:br w:type="page"/>
      </w:r>
    </w:p>
    <w:p w:rsidR="00106A2A" w:rsidRPr="00106A2A" w:rsidRDefault="00106A2A" w:rsidP="00106A2A">
      <w:pPr>
        <w:widowControl/>
        <w:spacing w:before="120" w:after="120" w:line="360" w:lineRule="auto"/>
        <w:ind w:left="709" w:hanging="709"/>
        <w:rPr>
          <w:rFonts w:eastAsia="Calibri"/>
          <w:szCs w:val="22"/>
          <w:lang w:eastAsia="en-US"/>
        </w:rPr>
      </w:pPr>
      <w:r w:rsidRPr="00106A2A">
        <w:rPr>
          <w:rFonts w:eastAsia="Calibri"/>
          <w:szCs w:val="22"/>
          <w:lang w:eastAsia="en-US"/>
        </w:rPr>
        <w:t>(45)</w:t>
      </w:r>
      <w:r w:rsidRPr="00106A2A">
        <w:rPr>
          <w:rFonts w:eastAsia="Calibri"/>
          <w:szCs w:val="22"/>
          <w:lang w:eastAsia="en-US"/>
        </w:rPr>
        <w:tab/>
        <w:t>Хоризонталните финансови правила, приети от Европейския парламент и от Съвета съгласно член 322 от Договора за функционирането на Европейския съюз (ДФЕС), се прилагат за настоящия регламент. Тези правила са установени в Регламент (ЕС, Евратом) 2018/1046 и определят по-специално процедурата за съставяне и изпълнение на бюджета на Съюза чрез безвъзмездни средства, обществени поръчки, награди и непряко управление, и предвиждат проверки по отношение на отговорността на финансовите участници. Правилата, приети съгласно член 322 от ДФЕС, включват и общ режим на обвързаност с условия за защита на бюджета на Съюза.</w:t>
      </w:r>
    </w:p>
    <w:p w:rsidR="00106A2A" w:rsidRPr="00106A2A" w:rsidRDefault="00106A2A" w:rsidP="00106A2A">
      <w:pPr>
        <w:widowControl/>
        <w:spacing w:before="120" w:after="120" w:line="360" w:lineRule="auto"/>
        <w:ind w:left="709" w:hanging="709"/>
        <w:rPr>
          <w:rFonts w:eastAsia="Calibri"/>
          <w:b/>
          <w:bCs/>
          <w:i/>
          <w:iCs/>
          <w:szCs w:val="22"/>
          <w:lang w:eastAsia="en-US"/>
        </w:rPr>
      </w:pPr>
      <w:r w:rsidRPr="00106A2A">
        <w:rPr>
          <w:rFonts w:eastAsia="Calibri"/>
          <w:b/>
          <w:i/>
          <w:szCs w:val="22"/>
          <w:lang w:eastAsia="en-US"/>
        </w:rPr>
        <w:t>(46)</w:t>
      </w:r>
      <w:r w:rsidRPr="00106A2A">
        <w:rPr>
          <w:rFonts w:eastAsia="Calibri"/>
          <w:b/>
          <w:i/>
          <w:szCs w:val="22"/>
          <w:lang w:eastAsia="en-US"/>
        </w:rPr>
        <w:tab/>
        <w:t>Регламент (ЕС) 2021/1060 следва да бъде съответно изменен.</w:t>
      </w:r>
    </w:p>
    <w:p w:rsidR="00106A2A" w:rsidRPr="00106A2A" w:rsidRDefault="00106A2A" w:rsidP="00106A2A">
      <w:pPr>
        <w:widowControl/>
        <w:spacing w:before="120" w:after="120" w:line="360" w:lineRule="auto"/>
        <w:ind w:left="709" w:hanging="709"/>
        <w:rPr>
          <w:rFonts w:eastAsia="Calibri"/>
          <w:b/>
          <w:bCs/>
          <w:i/>
          <w:iCs/>
          <w:szCs w:val="22"/>
          <w:lang w:eastAsia="en-US"/>
        </w:rPr>
      </w:pPr>
      <w:r w:rsidRPr="00106A2A">
        <w:rPr>
          <w:rFonts w:eastAsia="Calibri"/>
          <w:b/>
          <w:i/>
          <w:szCs w:val="22"/>
          <w:lang w:eastAsia="en-US"/>
        </w:rPr>
        <w:t>(47)</w:t>
      </w:r>
      <w:r w:rsidRPr="00106A2A">
        <w:rPr>
          <w:rFonts w:eastAsia="Calibri"/>
          <w:b/>
          <w:i/>
          <w:szCs w:val="22"/>
          <w:lang w:eastAsia="en-US"/>
        </w:rPr>
        <w:tab/>
        <w:t>Доколкото целта на настоящия регламент, а именно да допринесе за социално справедлив преход към неутралност по отношение на климата чрез справяне със социалните последици от включването на емисиите на парникови газове от сградите и от автомобилния транспорт в приложното поле на Директива 2003/87/ЕО, не може да бъде постигната в достатъчна степен от държавите членки, а поради нейния обхват и последици може да бъде по</w:t>
      </w:r>
      <w:r w:rsidRPr="00106A2A">
        <w:rPr>
          <w:rFonts w:eastAsia="Calibri"/>
          <w:b/>
          <w:i/>
          <w:szCs w:val="22"/>
          <w:lang w:eastAsia="en-US"/>
        </w:rPr>
        <w:noBreakHyphen/>
        <w:t>добре постигната на равнището на Съюза, Съюзът може да приеме мерки в съответствие с принципа на субсидиарност, уреден в член 5 от Договора за Европейския съюз. В съответствие с принципа на пропорционалност, уреден в същия член, настоящият регламент не надхвърля необходимото за постигането на тази цел,</w:t>
      </w:r>
    </w:p>
    <w:p w:rsidR="00106A2A" w:rsidRPr="00106A2A" w:rsidRDefault="00106A2A" w:rsidP="00106A2A">
      <w:pPr>
        <w:keepNext/>
        <w:widowControl/>
        <w:spacing w:before="120" w:after="120" w:line="360" w:lineRule="auto"/>
        <w:jc w:val="both"/>
        <w:rPr>
          <w:rFonts w:eastAsia="Calibri"/>
          <w:szCs w:val="22"/>
          <w:lang w:eastAsia="en-US"/>
        </w:rPr>
      </w:pPr>
      <w:r w:rsidRPr="00106A2A">
        <w:rPr>
          <w:rFonts w:eastAsia="Calibri"/>
          <w:szCs w:val="22"/>
          <w:lang w:eastAsia="en-US"/>
        </w:rPr>
        <w:t>ПРИЕХА НАСТОЯЩИЯ РЕГЛАМЕНТ:</w:t>
      </w:r>
    </w:p>
    <w:p w:rsidR="00106A2A" w:rsidRPr="00106A2A" w:rsidRDefault="00106A2A" w:rsidP="00106A2A">
      <w:pPr>
        <w:widowControl/>
        <w:spacing w:before="120" w:after="120" w:line="360" w:lineRule="auto"/>
        <w:rPr>
          <w:rFonts w:eastAsia="Calibri"/>
          <w:sz w:val="28"/>
          <w:szCs w:val="22"/>
          <w:lang w:eastAsia="en-US"/>
        </w:rPr>
      </w:pPr>
      <w:r w:rsidRPr="00106A2A">
        <w:rPr>
          <w:rFonts w:eastAsia="Calibri"/>
          <w:szCs w:val="22"/>
          <w:lang w:eastAsia="en-US"/>
        </w:rPr>
        <w:br w:type="page"/>
      </w:r>
    </w:p>
    <w:p w:rsidR="00106A2A" w:rsidRPr="00106A2A" w:rsidRDefault="00106A2A" w:rsidP="00106A2A">
      <w:pPr>
        <w:widowControl/>
        <w:spacing w:before="360" w:after="120" w:line="360" w:lineRule="auto"/>
        <w:jc w:val="center"/>
        <w:rPr>
          <w:rFonts w:eastAsia="Calibri"/>
          <w:sz w:val="28"/>
          <w:szCs w:val="22"/>
          <w:lang w:eastAsia="en-US"/>
        </w:rPr>
      </w:pPr>
      <w:r w:rsidRPr="00106A2A">
        <w:rPr>
          <w:rFonts w:eastAsia="Calibri"/>
          <w:sz w:val="28"/>
          <w:szCs w:val="22"/>
          <w:lang w:eastAsia="en-US"/>
        </w:rPr>
        <w:t>ГЛАВА I</w:t>
      </w:r>
      <w:r w:rsidRPr="00106A2A">
        <w:rPr>
          <w:rFonts w:eastAsia="Calibri"/>
          <w:sz w:val="28"/>
          <w:szCs w:val="22"/>
          <w:lang w:eastAsia="en-US"/>
        </w:rPr>
        <w:br/>
        <w:t>ОБЩИ РАЗПОРЕДБИ</w:t>
      </w:r>
    </w:p>
    <w:p w:rsidR="00106A2A" w:rsidRPr="00106A2A" w:rsidRDefault="00106A2A" w:rsidP="00106A2A">
      <w:pPr>
        <w:keepNext/>
        <w:widowControl/>
        <w:spacing w:before="360" w:after="120" w:line="360" w:lineRule="auto"/>
        <w:jc w:val="center"/>
        <w:rPr>
          <w:rFonts w:eastAsia="Calibri"/>
          <w:szCs w:val="22"/>
          <w:lang w:eastAsia="en-US"/>
        </w:rPr>
      </w:pPr>
      <w:r w:rsidRPr="00106A2A">
        <w:rPr>
          <w:rFonts w:eastAsia="Calibri"/>
          <w:szCs w:val="22"/>
          <w:lang w:eastAsia="en-US"/>
        </w:rPr>
        <w:t>Член 1</w:t>
      </w:r>
      <w:r w:rsidRPr="00106A2A">
        <w:rPr>
          <w:rFonts w:eastAsia="Calibri"/>
          <w:szCs w:val="22"/>
          <w:lang w:eastAsia="en-US"/>
        </w:rPr>
        <w:br/>
        <w:t>Предмет и приложно поле</w:t>
      </w:r>
    </w:p>
    <w:p w:rsidR="00106A2A" w:rsidRPr="00106A2A" w:rsidRDefault="00106A2A" w:rsidP="00106A2A">
      <w:pPr>
        <w:widowControl/>
        <w:spacing w:before="120" w:after="120" w:line="360" w:lineRule="auto"/>
        <w:jc w:val="both"/>
        <w:rPr>
          <w:rFonts w:eastAsia="Calibri"/>
          <w:szCs w:val="22"/>
          <w:lang w:eastAsia="en-US"/>
        </w:rPr>
      </w:pPr>
      <w:r w:rsidRPr="00106A2A">
        <w:rPr>
          <w:rFonts w:eastAsia="Calibri"/>
          <w:szCs w:val="22"/>
          <w:lang w:eastAsia="en-US"/>
        </w:rPr>
        <w:t>С настоящия регламент се създава Социалният фонд за климата (наричан по-нататък „Фондът“) за периода</w:t>
      </w:r>
      <w:r w:rsidRPr="00106A2A">
        <w:rPr>
          <w:rFonts w:eastAsia="Calibri"/>
          <w:b/>
          <w:i/>
          <w:szCs w:val="22"/>
          <w:lang w:eastAsia="en-US"/>
        </w:rPr>
        <w:t xml:space="preserve"> от 2026 г. до 2032 г.</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t xml:space="preserve">Фондът осигурява </w:t>
      </w:r>
      <w:r w:rsidRPr="00106A2A">
        <w:rPr>
          <w:rFonts w:eastAsia="Calibri"/>
          <w:b/>
          <w:i/>
          <w:szCs w:val="22"/>
          <w:lang w:eastAsia="en-US"/>
        </w:rPr>
        <w:t xml:space="preserve">финансова </w:t>
      </w:r>
      <w:r w:rsidRPr="00106A2A">
        <w:rPr>
          <w:rFonts w:eastAsia="Calibri"/>
          <w:szCs w:val="22"/>
          <w:lang w:eastAsia="en-US"/>
        </w:rPr>
        <w:t>подкрепа за държавите членки ▌за мерките и инвестициите, включени в техните социални планове за климата (наричани по-нататък „плановете“).</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t xml:space="preserve">Мерките и инвестициите, подкрепяни от Фонда, са в полза на домакинствата, микропредприятията и ползвателите на транспорт, които са уязвими и особено засегнати от включването на емисиите на парникови газове от сградите и от автомобилния транспорт в приложното поле на Директива 2003/87/ЕО, по-специално домакинствата в енергийна бедност </w:t>
      </w:r>
      <w:r w:rsidRPr="00106A2A">
        <w:rPr>
          <w:rFonts w:eastAsia="Calibri"/>
          <w:b/>
          <w:i/>
          <w:szCs w:val="22"/>
          <w:lang w:eastAsia="en-US"/>
        </w:rPr>
        <w:t>или домакинствата в</w:t>
      </w:r>
      <w:r w:rsidRPr="00106A2A">
        <w:rPr>
          <w:rFonts w:eastAsia="Calibri"/>
          <w:szCs w:val="22"/>
          <w:lang w:eastAsia="en-US"/>
        </w:rPr>
        <w:t xml:space="preserve"> транспорт</w:t>
      </w:r>
      <w:r w:rsidRPr="00106A2A">
        <w:rPr>
          <w:rFonts w:eastAsia="Calibri"/>
          <w:b/>
          <w:i/>
          <w:szCs w:val="22"/>
          <w:lang w:eastAsia="en-US"/>
        </w:rPr>
        <w:t>на бедност.</w:t>
      </w:r>
    </w:p>
    <w:p w:rsidR="00106A2A" w:rsidRPr="00106A2A" w:rsidRDefault="00106A2A" w:rsidP="00106A2A">
      <w:pPr>
        <w:widowControl/>
        <w:spacing w:before="48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keepNext/>
        <w:widowControl/>
        <w:spacing w:before="360" w:after="120" w:line="360" w:lineRule="auto"/>
        <w:jc w:val="center"/>
        <w:rPr>
          <w:rFonts w:eastAsia="Calibri"/>
          <w:szCs w:val="22"/>
          <w:lang w:eastAsia="en-US"/>
        </w:rPr>
      </w:pPr>
      <w:r w:rsidRPr="00106A2A">
        <w:rPr>
          <w:rFonts w:eastAsia="Calibri"/>
          <w:szCs w:val="22"/>
          <w:lang w:eastAsia="en-US"/>
        </w:rPr>
        <w:t>Член 2</w:t>
      </w:r>
      <w:r w:rsidRPr="00106A2A">
        <w:rPr>
          <w:rFonts w:eastAsia="Calibri"/>
          <w:szCs w:val="22"/>
          <w:lang w:eastAsia="en-US"/>
        </w:rPr>
        <w:br/>
        <w:t>Определения</w:t>
      </w:r>
    </w:p>
    <w:p w:rsidR="00106A2A" w:rsidRPr="00106A2A" w:rsidRDefault="00106A2A" w:rsidP="00106A2A">
      <w:pPr>
        <w:widowControl/>
        <w:spacing w:before="120" w:after="120" w:line="360" w:lineRule="auto"/>
        <w:jc w:val="both"/>
        <w:rPr>
          <w:rFonts w:eastAsia="Calibri"/>
          <w:szCs w:val="22"/>
          <w:lang w:eastAsia="en-US"/>
        </w:rPr>
      </w:pPr>
      <w:r w:rsidRPr="00106A2A">
        <w:rPr>
          <w:rFonts w:eastAsia="Calibri"/>
          <w:szCs w:val="22"/>
          <w:lang w:eastAsia="en-US"/>
        </w:rPr>
        <w:t>За целите на настоящия регламент се прилагат следните определения:</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1)</w:t>
      </w:r>
      <w:r w:rsidRPr="00106A2A">
        <w:rPr>
          <w:rFonts w:eastAsia="Calibri"/>
          <w:szCs w:val="22"/>
          <w:lang w:eastAsia="en-US"/>
        </w:rPr>
        <w:tab/>
        <w:t xml:space="preserve">„енергийна бедност“ означава </w:t>
      </w:r>
      <w:r w:rsidRPr="00106A2A">
        <w:rPr>
          <w:rFonts w:eastAsia="Calibri"/>
          <w:b/>
          <w:i/>
          <w:szCs w:val="22"/>
          <w:lang w:eastAsia="en-US"/>
        </w:rPr>
        <w:t xml:space="preserve">липсата на достъп на дадено домакинство до основни </w:t>
      </w:r>
      <w:r w:rsidRPr="00106A2A">
        <w:rPr>
          <w:rFonts w:eastAsia="Calibri"/>
          <w:szCs w:val="22"/>
          <w:lang w:eastAsia="en-US"/>
        </w:rPr>
        <w:t>енергийни</w:t>
      </w:r>
      <w:r w:rsidRPr="00106A2A">
        <w:rPr>
          <w:rFonts w:eastAsia="Calibri"/>
          <w:b/>
          <w:i/>
          <w:szCs w:val="22"/>
          <w:lang w:eastAsia="en-US"/>
        </w:rPr>
        <w:t xml:space="preserve"> услуги, които са в основата на един нормален жизнен и здравен стандарт, включително адекватно отопление, охлаждане, осветление и енергия за домакински уреди, в съответния национален контекст и при наличната социална политика и други съответни политики</w:t>
      </w:r>
      <w:r w:rsidRPr="00106A2A">
        <w:rPr>
          <w:rFonts w:eastAsia="Calibri"/>
          <w:szCs w:val="22"/>
          <w:lang w:eastAsia="en-US"/>
        </w:rPr>
        <w:t>;</w:t>
      </w:r>
    </w:p>
    <w:p w:rsidR="00106A2A" w:rsidRPr="00106A2A" w:rsidRDefault="00106A2A" w:rsidP="00106A2A">
      <w:pPr>
        <w:widowControl/>
        <w:spacing w:before="120" w:after="120" w:line="360" w:lineRule="auto"/>
        <w:rPr>
          <w:rFonts w:eastAsia="Calibri"/>
          <w:b/>
          <w: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b/>
          <w:i/>
          <w:szCs w:val="22"/>
          <w:lang w:eastAsia="en-US"/>
        </w:rPr>
        <w:t>2)</w:t>
      </w:r>
      <w:r w:rsidRPr="00106A2A">
        <w:rPr>
          <w:rFonts w:eastAsia="Calibri"/>
          <w:szCs w:val="22"/>
          <w:lang w:eastAsia="en-US"/>
        </w:rPr>
        <w:tab/>
      </w:r>
      <w:r w:rsidRPr="00106A2A">
        <w:rPr>
          <w:rFonts w:eastAsia="Calibri"/>
          <w:b/>
          <w:i/>
          <w:szCs w:val="22"/>
          <w:lang w:eastAsia="en-US"/>
        </w:rPr>
        <w:t>„транспортна бедност“ означава невъзможността или затруднението на физически лица и домакинства да покрият разходите за частен или обществен транспорт или липсата на достъп или наличието на ограничен достъп до транспорта, необходим за достъпа им до основни социално-икономически услуги и дейности, като се отчитат националният и пространственият контекст;</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3)</w:t>
      </w:r>
      <w:r w:rsidRPr="00106A2A">
        <w:rPr>
          <w:rFonts w:eastAsia="Calibri"/>
          <w:szCs w:val="22"/>
          <w:lang w:eastAsia="en-US"/>
        </w:rPr>
        <w:tab/>
        <w:t>„прогнозни общи разходи за плана“ означава прогнозните общи разходи за мерките и инвестициите, включени в ▌плана;</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4)</w:t>
      </w:r>
      <w:r w:rsidRPr="00106A2A">
        <w:rPr>
          <w:rFonts w:eastAsia="Calibri"/>
          <w:szCs w:val="22"/>
          <w:lang w:eastAsia="en-US"/>
        </w:rPr>
        <w:tab/>
        <w:t>„разпределени финансови средства“ означава безвъзмездна финансова подкрепа по линия на Фонда, която е на разположение за разпределяне или е вече разпределена на държава членка;</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5)</w:t>
      </w:r>
      <w:r w:rsidRPr="00106A2A">
        <w:rPr>
          <w:rFonts w:eastAsia="Calibri"/>
          <w:szCs w:val="22"/>
          <w:lang w:eastAsia="en-US"/>
        </w:rPr>
        <w:tab/>
        <w:t>„междинна цел“ означава качествено постижение, което се използва за измерване на напредъка към осъществяването на мярка или инвестиция;</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6)</w:t>
      </w:r>
      <w:r w:rsidRPr="00106A2A">
        <w:rPr>
          <w:rFonts w:eastAsia="Calibri"/>
          <w:szCs w:val="22"/>
          <w:lang w:eastAsia="en-US"/>
        </w:rPr>
        <w:tab/>
        <w:t>„целева стойност“ означава количествено постижение, което се използва за измерване на напредъка към осъществяването на мярка или инвестиция;</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7)</w:t>
      </w:r>
      <w:r w:rsidRPr="00106A2A">
        <w:rPr>
          <w:rFonts w:eastAsia="Calibri"/>
          <w:szCs w:val="22"/>
          <w:lang w:eastAsia="en-US"/>
        </w:rPr>
        <w:tab/>
        <w:t>„енергия от възобновяеми източници“ или „възобновяема енергия“ означава енергия от възобновяеми източници съгласно определението в член 2, втора алинея, точка 1 от Директива (ЕС) 2018/2001 на Европейския парламент и на Съвета</w:t>
      </w:r>
      <w:r w:rsidRPr="00106A2A">
        <w:rPr>
          <w:rFonts w:eastAsia="Calibri"/>
          <w:b/>
          <w:szCs w:val="22"/>
          <w:vertAlign w:val="superscript"/>
          <w:lang w:eastAsia="en-US"/>
        </w:rPr>
        <w:footnoteReference w:id="25"/>
      </w:r>
      <w:r w:rsidRPr="00106A2A">
        <w:rPr>
          <w:rFonts w:eastAsia="Calibri"/>
          <w:szCs w:val="22"/>
          <w:lang w:eastAsia="en-US"/>
        </w:rPr>
        <w:t>;</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8)</w:t>
      </w:r>
      <w:r w:rsidRPr="00106A2A">
        <w:rPr>
          <w:rFonts w:eastAsia="Calibri"/>
          <w:szCs w:val="22"/>
          <w:lang w:eastAsia="en-US"/>
        </w:rPr>
        <w:tab/>
        <w:t>▌„домакинство“ означава частно домакинство съгласно определението в член 2, точка 15 от Регламент (ЕС) 2019/1700 на Европейския парламент и на Съвета</w:t>
      </w:r>
      <w:r w:rsidRPr="00106A2A">
        <w:rPr>
          <w:rFonts w:eastAsia="Calibri"/>
          <w:b/>
          <w:szCs w:val="22"/>
          <w:vertAlign w:val="superscript"/>
          <w:lang w:eastAsia="en-US"/>
        </w:rPr>
        <w:footnoteReference w:id="26"/>
      </w:r>
      <w:r w:rsidRPr="00106A2A">
        <w:rPr>
          <w:rFonts w:eastAsia="Calibri"/>
          <w:szCs w:val="22"/>
          <w:lang w:eastAsia="en-US"/>
        </w:rPr>
        <w:t xml:space="preserve">; </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9)</w:t>
      </w:r>
      <w:r w:rsidRPr="00106A2A">
        <w:rPr>
          <w:rFonts w:eastAsia="Calibri"/>
          <w:szCs w:val="22"/>
          <w:lang w:eastAsia="en-US"/>
        </w:rPr>
        <w:tab/>
        <w:t xml:space="preserve"> „микропредприятие“ означава предприятие с под 10 служители, чийто годишен оборот или годишен счетоводен баланс не надвишава 2 милиона евро, изчислен съгласно членове 3—6 от приложение I към Регламент (ЕС) № 651/2014 на Комисията</w:t>
      </w:r>
      <w:r w:rsidRPr="00106A2A">
        <w:rPr>
          <w:rFonts w:eastAsia="Calibri"/>
          <w:b/>
          <w:szCs w:val="22"/>
          <w:vertAlign w:val="superscript"/>
          <w:lang w:eastAsia="en-US"/>
        </w:rPr>
        <w:footnoteReference w:id="27"/>
      </w:r>
      <w:r w:rsidRPr="00106A2A">
        <w:rPr>
          <w:rFonts w:eastAsia="Calibri"/>
          <w:szCs w:val="22"/>
          <w:lang w:eastAsia="en-US"/>
        </w:rPr>
        <w:t>;</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10)</w:t>
      </w:r>
      <w:r w:rsidRPr="00106A2A">
        <w:rPr>
          <w:rFonts w:eastAsia="Calibri"/>
          <w:szCs w:val="22"/>
          <w:lang w:eastAsia="en-US"/>
        </w:rPr>
        <w:tab/>
        <w:t>„уязвими домакинства“ означава домакинства в енергийна бедност или домакинства, включително такива с</w:t>
      </w:r>
      <w:r w:rsidRPr="00106A2A">
        <w:rPr>
          <w:rFonts w:eastAsia="Calibri"/>
          <w:b/>
          <w:i/>
          <w:szCs w:val="22"/>
          <w:lang w:eastAsia="en-US"/>
        </w:rPr>
        <w:t xml:space="preserve"> ниски доходи и</w:t>
      </w:r>
      <w:r w:rsidRPr="00106A2A">
        <w:rPr>
          <w:rFonts w:eastAsia="Calibri"/>
          <w:szCs w:val="22"/>
          <w:lang w:eastAsia="en-US"/>
        </w:rPr>
        <w:t xml:space="preserve"> по-ниски средни доходи, които са засегнати значително от ценовото въздействие на включването на емисиите на парникови газове от сградите в приложното поле на Директива 2003/87/ЕО и не разполагат с нужните средства да санират сградата, която обитават;</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851" w:hanging="851"/>
        <w:rPr>
          <w:rFonts w:eastAsia="Calibri"/>
          <w:b/>
          <w:i/>
          <w:szCs w:val="22"/>
          <w:lang w:eastAsia="en-US"/>
        </w:rPr>
      </w:pPr>
      <w:r w:rsidRPr="00106A2A">
        <w:rPr>
          <w:rFonts w:eastAsia="Calibri"/>
          <w:szCs w:val="22"/>
          <w:lang w:eastAsia="en-US"/>
        </w:rPr>
        <w:t>11)</w:t>
      </w:r>
      <w:r w:rsidRPr="00106A2A">
        <w:rPr>
          <w:rFonts w:eastAsia="Calibri"/>
          <w:szCs w:val="22"/>
          <w:lang w:eastAsia="en-US"/>
        </w:rPr>
        <w:tab/>
        <w:t>„уязвими микропредприятия“ означава микропредприятия, които са засегнати значително от ▌ценовото въздействие на включването на</w:t>
      </w:r>
      <w:r w:rsidRPr="00106A2A">
        <w:rPr>
          <w:rFonts w:eastAsia="Calibri"/>
          <w:b/>
          <w:i/>
          <w:szCs w:val="22"/>
          <w:lang w:eastAsia="en-US"/>
        </w:rPr>
        <w:t xml:space="preserve"> емисиите на парникови газове от</w:t>
      </w:r>
      <w:r w:rsidRPr="00106A2A">
        <w:rPr>
          <w:rFonts w:eastAsia="Calibri"/>
          <w:szCs w:val="22"/>
          <w:lang w:eastAsia="en-US"/>
        </w:rPr>
        <w:t xml:space="preserve"> сградите </w:t>
      </w:r>
      <w:r w:rsidRPr="00106A2A">
        <w:rPr>
          <w:rFonts w:eastAsia="Calibri"/>
          <w:b/>
          <w:i/>
          <w:szCs w:val="22"/>
          <w:lang w:eastAsia="en-US"/>
        </w:rPr>
        <w:t xml:space="preserve">или от автомобилния транспорт </w:t>
      </w:r>
      <w:r w:rsidRPr="00106A2A">
        <w:rPr>
          <w:rFonts w:eastAsia="Calibri"/>
          <w:szCs w:val="22"/>
          <w:lang w:eastAsia="en-US"/>
        </w:rPr>
        <w:t xml:space="preserve">в приложното поле на Директива 2003/87/ЕО и които, </w:t>
      </w:r>
      <w:r w:rsidRPr="00106A2A">
        <w:rPr>
          <w:rFonts w:eastAsia="Calibri"/>
          <w:b/>
          <w:i/>
          <w:szCs w:val="22"/>
          <w:lang w:eastAsia="en-US"/>
        </w:rPr>
        <w:t xml:space="preserve">за целите на своята дейност, </w:t>
      </w:r>
      <w:r w:rsidRPr="00106A2A">
        <w:rPr>
          <w:rFonts w:eastAsia="Calibri"/>
          <w:szCs w:val="22"/>
          <w:lang w:eastAsia="en-US"/>
        </w:rPr>
        <w:t>не разполагат със средства</w:t>
      </w:r>
      <w:r w:rsidRPr="00106A2A">
        <w:rPr>
          <w:rFonts w:eastAsia="Calibri"/>
          <w:b/>
          <w:i/>
          <w:szCs w:val="22"/>
          <w:lang w:eastAsia="en-US"/>
        </w:rPr>
        <w:t xml:space="preserve"> </w:t>
      </w:r>
      <w:r w:rsidRPr="00106A2A">
        <w:rPr>
          <w:rFonts w:eastAsia="Calibri"/>
          <w:szCs w:val="22"/>
          <w:lang w:eastAsia="en-US"/>
        </w:rPr>
        <w:t>да санират сградата, която заемат</w:t>
      </w:r>
      <w:r w:rsidRPr="00106A2A">
        <w:rPr>
          <w:rFonts w:eastAsia="Calibri"/>
          <w:b/>
          <w:i/>
          <w:szCs w:val="22"/>
          <w:lang w:eastAsia="en-US"/>
        </w:rPr>
        <w:t>, или да закупят превозни средства с нулеви и ниски емисии, или да преминат към алтернативни устойчиви видове транспорт, включително обществен транспорт, според случая</w:t>
      </w:r>
      <w:r w:rsidRPr="00106A2A">
        <w:rPr>
          <w:rFonts w:eastAsia="Calibri"/>
          <w:szCs w:val="22"/>
          <w:lang w:eastAsia="en-US"/>
        </w:rPr>
        <w:t>;</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12)</w:t>
      </w:r>
      <w:r w:rsidRPr="00106A2A">
        <w:rPr>
          <w:rFonts w:eastAsia="Calibri"/>
          <w:szCs w:val="22"/>
          <w:lang w:eastAsia="en-US"/>
        </w:rPr>
        <w:tab/>
        <w:t xml:space="preserve">„уязвими ползватели на транспорт“ означава </w:t>
      </w:r>
      <w:r w:rsidRPr="00106A2A">
        <w:rPr>
          <w:rFonts w:eastAsia="Calibri"/>
          <w:b/>
          <w:i/>
          <w:szCs w:val="22"/>
          <w:lang w:eastAsia="en-US"/>
        </w:rPr>
        <w:t xml:space="preserve">физически лица и домакинства в </w:t>
      </w:r>
      <w:r w:rsidRPr="00106A2A">
        <w:rPr>
          <w:rFonts w:eastAsia="Calibri"/>
          <w:szCs w:val="22"/>
          <w:lang w:eastAsia="en-US"/>
        </w:rPr>
        <w:t>транспорт</w:t>
      </w:r>
      <w:r w:rsidRPr="00106A2A">
        <w:rPr>
          <w:rFonts w:eastAsia="Calibri"/>
          <w:b/>
          <w:i/>
          <w:szCs w:val="22"/>
          <w:lang w:eastAsia="en-US"/>
        </w:rPr>
        <w:t>на бедност, но също и физически лица и домакинства</w:t>
      </w:r>
      <w:r w:rsidRPr="00106A2A">
        <w:rPr>
          <w:rFonts w:eastAsia="Calibri"/>
          <w:szCs w:val="22"/>
          <w:lang w:eastAsia="en-US"/>
        </w:rPr>
        <w:t xml:space="preserve">, включително тези с </w:t>
      </w:r>
      <w:r w:rsidRPr="00106A2A">
        <w:rPr>
          <w:rFonts w:eastAsia="Calibri"/>
          <w:b/>
          <w:i/>
          <w:szCs w:val="22"/>
          <w:lang w:eastAsia="en-US"/>
        </w:rPr>
        <w:t xml:space="preserve">ниски доходи и </w:t>
      </w:r>
      <w:r w:rsidRPr="00106A2A">
        <w:rPr>
          <w:rFonts w:eastAsia="Calibri"/>
          <w:szCs w:val="22"/>
          <w:lang w:eastAsia="en-US"/>
        </w:rPr>
        <w:t>по-ниски средни доходи, които са засегнати значително от ценовото въздействие на включването на емисиите на парникови газове от автомобилния транспорт в приложното поле на Директива 2003/87/ЕО и не разполагат с нужните средства да купят превозни средства с нулеви и ниски емисии или да преминат към алтернативни устойчиви видове транспорт, включително обществен транспорт ▌;</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13)</w:t>
      </w:r>
      <w:r w:rsidRPr="00106A2A">
        <w:rPr>
          <w:rFonts w:eastAsia="Calibri"/>
          <w:szCs w:val="22"/>
          <w:lang w:eastAsia="en-US"/>
        </w:rPr>
        <w:tab/>
        <w:t xml:space="preserve">„саниране на сгради“ означава </w:t>
      </w:r>
      <w:r w:rsidRPr="00106A2A">
        <w:rPr>
          <w:rFonts w:eastAsia="Calibri"/>
          <w:b/>
          <w:i/>
          <w:szCs w:val="22"/>
          <w:lang w:eastAsia="en-US"/>
        </w:rPr>
        <w:t xml:space="preserve">всеки вид </w:t>
      </w:r>
      <w:r w:rsidRPr="00106A2A">
        <w:rPr>
          <w:rFonts w:eastAsia="Calibri"/>
          <w:szCs w:val="22"/>
          <w:lang w:eastAsia="en-US"/>
        </w:rPr>
        <w:t xml:space="preserve">саниране на сгради, свързано с енергопотреблението, </w:t>
      </w:r>
      <w:r w:rsidRPr="00106A2A">
        <w:rPr>
          <w:rFonts w:eastAsia="Calibri"/>
          <w:b/>
          <w:i/>
          <w:szCs w:val="22"/>
          <w:lang w:eastAsia="en-US"/>
        </w:rPr>
        <w:t>което има за цел да подобри енергийните характеристики на сградите, като например</w:t>
      </w:r>
      <w:r w:rsidRPr="00106A2A">
        <w:rPr>
          <w:rFonts w:eastAsia="Calibri"/>
          <w:szCs w:val="22"/>
          <w:lang w:eastAsia="en-US"/>
        </w:rPr>
        <w:t xml:space="preserve"> изолирането на сградната обвивка, т.е. стени, покрив, под, и подмяната на прозорци, </w:t>
      </w:r>
      <w:r w:rsidRPr="00106A2A">
        <w:rPr>
          <w:rFonts w:eastAsia="Calibri"/>
          <w:b/>
          <w:i/>
          <w:szCs w:val="22"/>
          <w:lang w:eastAsia="en-US"/>
        </w:rPr>
        <w:t>както и монтирането на технически сградни инсталации, отговарящи на съответните национални стандарти за безопасност, включително чрез принос към изискванията за саниране, установени в директивата на Европейския парламент и на Съвета относно енергийните характеристики на сградите (преработен текст)</w:t>
      </w:r>
      <w:r w:rsidRPr="00106A2A">
        <w:rPr>
          <w:rFonts w:eastAsia="Calibri"/>
          <w:szCs w:val="22"/>
          <w:lang w:eastAsia="en-US"/>
        </w:rPr>
        <w:t>;</w:t>
      </w:r>
    </w:p>
    <w:p w:rsidR="00106A2A" w:rsidRPr="00106A2A" w:rsidRDefault="00106A2A" w:rsidP="00106A2A">
      <w:pPr>
        <w:widowControl/>
        <w:spacing w:before="120" w:after="120" w:line="360" w:lineRule="auto"/>
        <w:rPr>
          <w:rFonts w:eastAsia="Calibri"/>
          <w:b/>
          <w: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b/>
          <w:i/>
          <w:szCs w:val="22"/>
          <w:lang w:eastAsia="en-US"/>
        </w:rPr>
        <w:t>14)</w:t>
      </w:r>
      <w:r w:rsidRPr="00106A2A">
        <w:rPr>
          <w:rFonts w:eastAsia="Calibri"/>
          <w:szCs w:val="22"/>
          <w:lang w:eastAsia="en-US"/>
        </w:rPr>
        <w:tab/>
      </w:r>
      <w:r w:rsidRPr="00106A2A">
        <w:rPr>
          <w:rFonts w:eastAsia="Calibri"/>
          <w:b/>
          <w:i/>
          <w:szCs w:val="22"/>
          <w:lang w:eastAsia="en-US"/>
        </w:rPr>
        <w:t xml:space="preserve">„техническа сградна инсталация“ означава техническото оборудване за отопление на помещения, охлаждане на помещения, вентилация, топла вода за битови нужди, сградна автоматизация и управление, </w:t>
      </w:r>
      <w:bookmarkStart w:id="0" w:name="_Hlk130914436"/>
      <w:r w:rsidRPr="00106A2A">
        <w:rPr>
          <w:rFonts w:eastAsia="Calibri"/>
          <w:b/>
          <w:i/>
          <w:szCs w:val="22"/>
          <w:lang w:eastAsia="en-US"/>
        </w:rPr>
        <w:t>производство и съхранение на енергия от възобновяеми източници</w:t>
      </w:r>
      <w:bookmarkEnd w:id="0"/>
      <w:r w:rsidRPr="00106A2A">
        <w:rPr>
          <w:rFonts w:eastAsia="Calibri"/>
          <w:b/>
          <w:i/>
          <w:szCs w:val="22"/>
          <w:lang w:eastAsia="en-US"/>
        </w:rPr>
        <w:t xml:space="preserve"> на място или комбинация от такова техническо оборудване, включително инсталациите, използващи енергия от възобновяеми източници, на дадена сграда или обособена част от сграда;</w:t>
      </w:r>
    </w:p>
    <w:p w:rsidR="00106A2A" w:rsidRPr="00106A2A" w:rsidRDefault="00106A2A" w:rsidP="00106A2A">
      <w:pPr>
        <w:widowControl/>
        <w:spacing w:before="120" w:after="120" w:line="360" w:lineRule="auto"/>
        <w:ind w:left="851" w:hanging="851"/>
        <w:rPr>
          <w:rFonts w:eastAsia="Calibri"/>
          <w:b/>
          <w:i/>
          <w:szCs w:val="22"/>
          <w:lang w:eastAsia="en-US"/>
        </w:rPr>
      </w:pPr>
      <w:r w:rsidRPr="00106A2A">
        <w:rPr>
          <w:rFonts w:eastAsia="Calibri"/>
          <w:b/>
          <w:i/>
          <w:szCs w:val="22"/>
          <w:lang w:eastAsia="en-US"/>
        </w:rPr>
        <w:t>15)</w:t>
      </w:r>
      <w:r w:rsidRPr="00106A2A">
        <w:rPr>
          <w:rFonts w:eastAsia="Calibri"/>
          <w:szCs w:val="22"/>
          <w:lang w:eastAsia="en-US"/>
        </w:rPr>
        <w:tab/>
      </w:r>
      <w:r w:rsidRPr="00106A2A">
        <w:rPr>
          <w:rFonts w:eastAsia="Calibri"/>
          <w:b/>
          <w:i/>
          <w:szCs w:val="22"/>
          <w:lang w:eastAsia="en-US"/>
        </w:rPr>
        <w:t>„активен клиент“ означава активен клиент съгласно определението в член 2, точка 8 от Директива (ЕС) 2019/944 на Европейския парламент и на Съвета</w:t>
      </w:r>
      <w:r w:rsidRPr="00106A2A">
        <w:rPr>
          <w:rFonts w:eastAsia="Calibri"/>
          <w:b/>
          <w:i/>
          <w:szCs w:val="22"/>
          <w:vertAlign w:val="superscript"/>
          <w:lang w:eastAsia="en-US"/>
        </w:rPr>
        <w:footnoteReference w:id="28"/>
      </w:r>
      <w:r w:rsidRPr="00106A2A">
        <w:rPr>
          <w:rFonts w:eastAsia="Calibri"/>
          <w:b/>
          <w:i/>
          <w:szCs w:val="22"/>
          <w:lang w:eastAsia="en-US"/>
        </w:rPr>
        <w:t>;</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b/>
          <w:i/>
          <w:szCs w:val="22"/>
          <w:lang w:eastAsia="en-US"/>
        </w:rPr>
        <w:t>16)</w:t>
      </w:r>
      <w:r w:rsidRPr="00106A2A">
        <w:rPr>
          <w:rFonts w:eastAsia="Calibri"/>
          <w:szCs w:val="22"/>
          <w:lang w:eastAsia="en-US"/>
        </w:rPr>
        <w:tab/>
      </w:r>
      <w:r w:rsidRPr="00106A2A">
        <w:rPr>
          <w:rFonts w:eastAsia="Calibri"/>
          <w:b/>
          <w:i/>
          <w:szCs w:val="22"/>
          <w:lang w:eastAsia="en-US"/>
        </w:rPr>
        <w:t>„гражданска енергийна общност“ означава гражданска енергийна общност съгласно определението в член 2, точка 11 от Директива (ЕС) 2019/944;</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b/>
          <w:i/>
          <w:szCs w:val="22"/>
          <w:lang w:eastAsia="en-US"/>
        </w:rPr>
        <w:t>17)</w:t>
      </w:r>
      <w:r w:rsidRPr="00106A2A">
        <w:rPr>
          <w:rFonts w:eastAsia="Calibri"/>
          <w:szCs w:val="22"/>
          <w:lang w:eastAsia="en-US"/>
        </w:rPr>
        <w:tab/>
      </w:r>
      <w:r w:rsidRPr="00106A2A">
        <w:rPr>
          <w:rFonts w:eastAsia="Calibri"/>
          <w:b/>
          <w:i/>
          <w:szCs w:val="22"/>
          <w:lang w:eastAsia="en-US"/>
        </w:rPr>
        <w:t>„общност за възобновяема енергия“ означава общност за възобновяема енергия съгласно определението в член 2, точка 16 от Директива (ЕС) 2018/2001;</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b/>
          <w:i/>
          <w:szCs w:val="22"/>
          <w:lang w:eastAsia="en-US"/>
        </w:rPr>
        <w:br w:type="page"/>
        <w:t>18)</w:t>
      </w:r>
      <w:r w:rsidRPr="00106A2A">
        <w:rPr>
          <w:rFonts w:eastAsia="Calibri"/>
          <w:szCs w:val="22"/>
          <w:lang w:eastAsia="en-US"/>
        </w:rPr>
        <w:tab/>
      </w:r>
      <w:r w:rsidRPr="00106A2A">
        <w:rPr>
          <w:rFonts w:eastAsia="Calibri"/>
          <w:b/>
          <w:i/>
          <w:szCs w:val="22"/>
          <w:lang w:eastAsia="en-US"/>
        </w:rPr>
        <w:t>„търговия между партньори на възобновяема енергия“ означава търговия между партньори на възобновяема енергия съгласно определението в член 2, точка 18 от Директива (ЕС) 2018/2001;</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b/>
          <w:i/>
          <w:szCs w:val="22"/>
          <w:lang w:eastAsia="en-US"/>
        </w:rPr>
        <w:t>19)</w:t>
      </w:r>
      <w:r w:rsidRPr="00106A2A">
        <w:rPr>
          <w:rFonts w:eastAsia="Calibri"/>
          <w:szCs w:val="22"/>
          <w:lang w:eastAsia="en-US"/>
        </w:rPr>
        <w:tab/>
      </w:r>
      <w:r w:rsidRPr="00106A2A">
        <w:rPr>
          <w:rFonts w:eastAsia="Calibri"/>
          <w:b/>
          <w:i/>
          <w:szCs w:val="22"/>
          <w:lang w:eastAsia="en-US"/>
        </w:rPr>
        <w:t>„превозно средство с нулеви и ниски емисии“ означава превозно средство с нулеви и ниски емисии съгласно определението в член 3, параграф 1, буква м) от Регламент (ЕС) 2019/631 на Европейския парламент и на Съвета</w:t>
      </w:r>
      <w:r w:rsidRPr="00106A2A">
        <w:rPr>
          <w:rFonts w:eastAsia="Calibri"/>
          <w:b/>
          <w:i/>
          <w:szCs w:val="22"/>
          <w:vertAlign w:val="superscript"/>
          <w:lang w:eastAsia="en-US"/>
        </w:rPr>
        <w:footnoteReference w:id="29"/>
      </w:r>
      <w:r w:rsidRPr="00106A2A">
        <w:rPr>
          <w:rFonts w:eastAsia="Calibri"/>
          <w:b/>
          <w:i/>
          <w:szCs w:val="22"/>
          <w:lang w:eastAsia="en-US"/>
        </w:rPr>
        <w:t>.</w:t>
      </w:r>
    </w:p>
    <w:p w:rsidR="00106A2A" w:rsidRPr="00106A2A" w:rsidRDefault="00106A2A" w:rsidP="00106A2A">
      <w:pPr>
        <w:tabs>
          <w:tab w:val="left" w:pos="709"/>
        </w:tabs>
        <w:spacing w:before="120" w:after="120" w:line="360" w:lineRule="auto"/>
        <w:jc w:val="center"/>
        <w:rPr>
          <w:rFonts w:eastAsia="Calibri"/>
          <w:b/>
          <w:bCs/>
          <w:i/>
          <w:iCs/>
          <w:szCs w:val="22"/>
          <w:lang w:eastAsia="en-US"/>
        </w:rPr>
      </w:pPr>
      <w:r w:rsidRPr="00106A2A">
        <w:rPr>
          <w:rFonts w:eastAsia="Calibri"/>
          <w:szCs w:val="22"/>
          <w:lang w:eastAsia="en-US"/>
        </w:rPr>
        <w:t>Член 3</w:t>
      </w:r>
      <w:r w:rsidRPr="00106A2A">
        <w:rPr>
          <w:rFonts w:eastAsia="Calibri"/>
          <w:szCs w:val="22"/>
          <w:lang w:eastAsia="en-US"/>
        </w:rPr>
        <w:br/>
      </w:r>
      <w:r w:rsidRPr="00106A2A">
        <w:rPr>
          <w:rFonts w:eastAsia="Calibri"/>
          <w:b/>
          <w:i/>
          <w:szCs w:val="22"/>
          <w:lang w:eastAsia="en-US"/>
        </w:rPr>
        <w:t>Цели</w:t>
      </w:r>
    </w:p>
    <w:p w:rsidR="00106A2A" w:rsidRPr="00106A2A" w:rsidRDefault="00106A2A" w:rsidP="00106A2A">
      <w:pPr>
        <w:widowControl/>
        <w:spacing w:before="360" w:after="120" w:line="360" w:lineRule="auto"/>
        <w:ind w:left="720" w:hanging="720"/>
        <w:rPr>
          <w:rFonts w:eastAsia="Calibri"/>
          <w:szCs w:val="22"/>
          <w:lang w:eastAsia="en-US"/>
        </w:rPr>
      </w:pPr>
      <w:r w:rsidRPr="00106A2A">
        <w:rPr>
          <w:rFonts w:eastAsia="Calibri"/>
          <w:szCs w:val="22"/>
          <w:lang w:eastAsia="en-US"/>
        </w:rPr>
        <w:t>1.</w:t>
      </w:r>
      <w:r w:rsidRPr="00106A2A">
        <w:rPr>
          <w:rFonts w:eastAsia="Calibri"/>
          <w:szCs w:val="22"/>
          <w:lang w:eastAsia="en-US"/>
        </w:rPr>
        <w:tab/>
        <w:t xml:space="preserve">Общата цел на Фонда е да допринася за </w:t>
      </w:r>
      <w:r w:rsidRPr="00106A2A">
        <w:rPr>
          <w:rFonts w:eastAsia="Calibri"/>
          <w:b/>
          <w:i/>
          <w:szCs w:val="22"/>
          <w:lang w:eastAsia="en-US"/>
        </w:rPr>
        <w:t xml:space="preserve">социално справедлив </w:t>
      </w:r>
      <w:r w:rsidRPr="00106A2A">
        <w:rPr>
          <w:rFonts w:eastAsia="Calibri"/>
          <w:szCs w:val="22"/>
          <w:lang w:eastAsia="en-US"/>
        </w:rPr>
        <w:t>преход към неутралност по отношение на климата чрез справяне със социалните последици от включването на емисиите на парникови газове от сградите и от автомобилния транспорт в приложното поле на Директива 2003/87/ЕО.</w:t>
      </w:r>
    </w:p>
    <w:p w:rsidR="00106A2A" w:rsidRPr="00106A2A" w:rsidRDefault="00106A2A" w:rsidP="00106A2A">
      <w:pPr>
        <w:widowControl/>
        <w:spacing w:before="360" w:after="120" w:line="360" w:lineRule="auto"/>
        <w:ind w:left="709" w:hanging="709"/>
        <w:rPr>
          <w:rFonts w:eastAsia="Calibri"/>
          <w:szCs w:val="22"/>
          <w:lang w:eastAsia="en-US"/>
        </w:rPr>
      </w:pPr>
      <w:r w:rsidRPr="00106A2A">
        <w:rPr>
          <w:rFonts w:eastAsia="Calibri"/>
          <w:szCs w:val="22"/>
          <w:lang w:eastAsia="en-US"/>
        </w:rPr>
        <w:t>2.</w:t>
      </w:r>
      <w:r w:rsidRPr="00106A2A">
        <w:rPr>
          <w:rFonts w:eastAsia="Calibri"/>
          <w:szCs w:val="22"/>
          <w:lang w:eastAsia="en-US"/>
        </w:rPr>
        <w:tab/>
        <w:t xml:space="preserve">Специфичните цели на Фонда са да подкрепя уязвимите домакинства, уязвимите микропредприятия и уязвимите ползватели на транспорт чрез временно пряко подпомагане на доходите и чрез мерки и инвестиции, предназначени за повишаване на енергийната ефективност на сградите, декарбонизация на отоплението и охлаждането на сградите, включително </w:t>
      </w:r>
      <w:r w:rsidRPr="00106A2A">
        <w:rPr>
          <w:rFonts w:eastAsia="Calibri"/>
          <w:b/>
          <w:i/>
          <w:szCs w:val="22"/>
          <w:lang w:eastAsia="en-US"/>
        </w:rPr>
        <w:t xml:space="preserve">чрез </w:t>
      </w:r>
      <w:r w:rsidRPr="00106A2A">
        <w:rPr>
          <w:rFonts w:eastAsia="Calibri"/>
          <w:szCs w:val="22"/>
          <w:lang w:eastAsia="en-US"/>
        </w:rPr>
        <w:t xml:space="preserve">интегрирането в сградите на </w:t>
      </w:r>
      <w:r w:rsidRPr="00106A2A">
        <w:rPr>
          <w:rFonts w:eastAsia="Calibri"/>
          <w:b/>
          <w:i/>
          <w:szCs w:val="22"/>
          <w:lang w:eastAsia="en-US"/>
        </w:rPr>
        <w:t xml:space="preserve">производство и съхранение </w:t>
      </w:r>
      <w:r w:rsidRPr="00106A2A">
        <w:rPr>
          <w:rFonts w:eastAsia="Calibri"/>
          <w:szCs w:val="22"/>
          <w:lang w:eastAsia="en-US"/>
        </w:rPr>
        <w:t>на енергия от възобновяеми източници, и да осигурява по-широк достъп до мобилност и транспорт с нулеви и с ниски емисии.</w:t>
      </w:r>
    </w:p>
    <w:p w:rsidR="00106A2A" w:rsidRPr="00106A2A" w:rsidRDefault="00106A2A" w:rsidP="00106A2A">
      <w:pPr>
        <w:widowControl/>
        <w:spacing w:before="120" w:after="120" w:line="360" w:lineRule="auto"/>
        <w:rPr>
          <w:rFonts w:eastAsia="Calibri"/>
          <w:sz w:val="28"/>
          <w:szCs w:val="22"/>
          <w:lang w:eastAsia="en-US"/>
        </w:rPr>
      </w:pPr>
      <w:r w:rsidRPr="00106A2A">
        <w:rPr>
          <w:rFonts w:eastAsia="Calibri"/>
          <w:szCs w:val="22"/>
          <w:lang w:eastAsia="en-US"/>
        </w:rPr>
        <w:br w:type="page"/>
      </w:r>
    </w:p>
    <w:p w:rsidR="00106A2A" w:rsidRPr="00106A2A" w:rsidRDefault="00106A2A" w:rsidP="00106A2A">
      <w:pPr>
        <w:widowControl/>
        <w:spacing w:before="360" w:after="120" w:line="360" w:lineRule="auto"/>
        <w:jc w:val="center"/>
        <w:rPr>
          <w:rFonts w:eastAsia="Calibri"/>
          <w:sz w:val="28"/>
          <w:szCs w:val="22"/>
          <w:lang w:eastAsia="en-US"/>
        </w:rPr>
      </w:pPr>
      <w:r w:rsidRPr="00106A2A">
        <w:rPr>
          <w:rFonts w:eastAsia="Calibri"/>
          <w:sz w:val="28"/>
          <w:szCs w:val="22"/>
          <w:lang w:eastAsia="en-US"/>
        </w:rPr>
        <w:t>ГЛАВА II</w:t>
      </w:r>
      <w:r w:rsidRPr="00106A2A">
        <w:rPr>
          <w:rFonts w:eastAsia="Calibri"/>
          <w:sz w:val="28"/>
          <w:szCs w:val="22"/>
          <w:lang w:eastAsia="en-US"/>
        </w:rPr>
        <w:br/>
        <w:t>СОЦИАЛНИ ПЛАНОВЕ ЗА КЛИМАТА</w:t>
      </w:r>
    </w:p>
    <w:p w:rsidR="00106A2A" w:rsidRPr="00106A2A" w:rsidRDefault="00106A2A" w:rsidP="00106A2A">
      <w:pPr>
        <w:keepNext/>
        <w:widowControl/>
        <w:spacing w:before="360" w:after="120" w:line="360" w:lineRule="auto"/>
        <w:jc w:val="center"/>
        <w:rPr>
          <w:rFonts w:eastAsia="Calibri"/>
          <w:szCs w:val="22"/>
          <w:lang w:eastAsia="en-US"/>
        </w:rPr>
      </w:pPr>
      <w:r w:rsidRPr="00106A2A">
        <w:rPr>
          <w:rFonts w:eastAsia="Calibri"/>
          <w:szCs w:val="22"/>
          <w:lang w:eastAsia="en-US"/>
        </w:rPr>
        <w:t>Член 4</w:t>
      </w:r>
      <w:r w:rsidRPr="00106A2A">
        <w:rPr>
          <w:rFonts w:eastAsia="Calibri"/>
          <w:szCs w:val="22"/>
          <w:lang w:eastAsia="en-US"/>
        </w:rPr>
        <w:br/>
        <w:t>Социални планове за климата</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1.</w:t>
      </w:r>
      <w:r w:rsidRPr="00106A2A">
        <w:rPr>
          <w:rFonts w:eastAsia="Calibri"/>
          <w:szCs w:val="22"/>
          <w:lang w:eastAsia="en-US"/>
        </w:rPr>
        <w:tab/>
        <w:t>Всяка държава членка представя на Комисията своя план ▌. Планът съдържа набор от съгласувани</w:t>
      </w:r>
      <w:r w:rsidRPr="00106A2A">
        <w:rPr>
          <w:rFonts w:eastAsia="Calibri"/>
          <w:b/>
          <w:i/>
          <w:szCs w:val="22"/>
          <w:lang w:eastAsia="en-US"/>
        </w:rPr>
        <w:t xml:space="preserve"> съществуващи или нови национални</w:t>
      </w:r>
      <w:r w:rsidRPr="00106A2A">
        <w:rPr>
          <w:rFonts w:eastAsia="Calibri"/>
          <w:szCs w:val="22"/>
          <w:lang w:eastAsia="en-US"/>
        </w:rPr>
        <w:t xml:space="preserve"> мерки и инвестиции за справяне с въздействието на определянето на цени на въглеродните емисии върху уязвимите домакинства, уязвимите микропредприятия и уязвимите ползватели на транспорт, за да бъдат осигурени финансово достъпни отопление, охлаждане и мобилност, като същевременно се съпътстват и ускоряват мерките за постигане на целите на ЕС в областта на климата.</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b/>
          <w:i/>
          <w:szCs w:val="22"/>
          <w:lang w:eastAsia="en-US"/>
        </w:rPr>
        <w:t>2.</w:t>
      </w:r>
      <w:r w:rsidRPr="00106A2A">
        <w:rPr>
          <w:rFonts w:eastAsia="Calibri"/>
          <w:szCs w:val="22"/>
          <w:lang w:eastAsia="en-US"/>
        </w:rPr>
        <w:tab/>
      </w:r>
      <w:r w:rsidRPr="00106A2A">
        <w:rPr>
          <w:rFonts w:eastAsia="Calibri"/>
          <w:b/>
          <w:i/>
          <w:szCs w:val="22"/>
          <w:lang w:eastAsia="en-US"/>
        </w:rPr>
        <w:t>Всяка държава членка гарантира съгласуваността на своя план с актуализирания си интегриран национален план в областта на енергетиката и климата, посочен в член 14, параграф 2 от Регламент (ЕС) 2018/1999.</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3.</w:t>
      </w:r>
      <w:r w:rsidRPr="00106A2A">
        <w:rPr>
          <w:rFonts w:eastAsia="Calibri"/>
          <w:szCs w:val="22"/>
          <w:lang w:eastAsia="en-US"/>
        </w:rPr>
        <w:tab/>
        <w:t>Планът може да включва национални мерки за осигуряване на временно пряко подпомагане на доходите на уязвимите домакинства и ▌уязвимите ползватели на транспорт, за да се намалят последиците от нарастването на цената на изкопаемите горива в резултат от включването на емисиите на парникови газове от сградите и от автомобилния транспорт в приложното поле на Директива 2003/87/EО.</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br w:type="page"/>
        <w:t>4.</w:t>
      </w:r>
      <w:r w:rsidRPr="00106A2A">
        <w:rPr>
          <w:rFonts w:eastAsia="Calibri"/>
          <w:szCs w:val="22"/>
          <w:lang w:eastAsia="en-US"/>
        </w:rPr>
        <w:tab/>
        <w:t>Планът включва национални</w:t>
      </w:r>
      <w:r w:rsidRPr="00106A2A">
        <w:rPr>
          <w:rFonts w:eastAsia="Calibri"/>
          <w:b/>
          <w:i/>
          <w:szCs w:val="22"/>
          <w:lang w:eastAsia="en-US"/>
        </w:rPr>
        <w:t xml:space="preserve"> и когато е приложимо, местни и регионални мерки и инвестиции в съответствие с член 8</w:t>
      </w:r>
      <w:r w:rsidRPr="00106A2A">
        <w:rPr>
          <w:rFonts w:eastAsia="Calibri"/>
          <w:szCs w:val="22"/>
          <w:lang w:eastAsia="en-US"/>
        </w:rPr>
        <w:t xml:space="preserve"> с цел:</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t>a)</w:t>
      </w:r>
      <w:r w:rsidRPr="00106A2A">
        <w:rPr>
          <w:rFonts w:eastAsia="Calibri"/>
          <w:szCs w:val="22"/>
          <w:lang w:eastAsia="en-US"/>
        </w:rPr>
        <w:tab/>
        <w:t>▌ извършване на саниране на сгради и ▌декарбонизация на тяхното отопление и охлаждане, включително интегрирането на производството</w:t>
      </w:r>
      <w:r w:rsidRPr="00106A2A">
        <w:rPr>
          <w:rFonts w:eastAsia="Calibri"/>
          <w:b/>
          <w:i/>
          <w:szCs w:val="22"/>
          <w:lang w:eastAsia="en-US"/>
        </w:rPr>
        <w:t xml:space="preserve"> и съхранението на</w:t>
      </w:r>
      <w:r w:rsidRPr="00106A2A">
        <w:rPr>
          <w:rFonts w:eastAsia="Calibri"/>
          <w:szCs w:val="22"/>
          <w:lang w:eastAsia="en-US"/>
        </w:rPr>
        <w:t xml:space="preserve"> енергия от възобновяеми източници;</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t>б)</w:t>
      </w:r>
      <w:r w:rsidRPr="00106A2A">
        <w:rPr>
          <w:rFonts w:eastAsia="Calibri"/>
          <w:szCs w:val="22"/>
          <w:lang w:eastAsia="en-US"/>
        </w:rPr>
        <w:tab/>
        <w:t>▌ разширяване на използването на мобилност и транспорт с нулеви и с ниски емисии.</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b/>
          <w:i/>
          <w:szCs w:val="22"/>
          <w:lang w:eastAsia="en-US"/>
        </w:rPr>
        <w:t>5.</w:t>
      </w:r>
      <w:r w:rsidRPr="00106A2A">
        <w:rPr>
          <w:rFonts w:eastAsia="Calibri"/>
          <w:szCs w:val="22"/>
          <w:lang w:eastAsia="en-US"/>
        </w:rPr>
        <w:tab/>
      </w:r>
      <w:r w:rsidRPr="00106A2A">
        <w:rPr>
          <w:rFonts w:eastAsia="Calibri"/>
          <w:b/>
          <w:i/>
          <w:szCs w:val="22"/>
          <w:lang w:eastAsia="en-US"/>
        </w:rPr>
        <w:t>Ако държава членка вече разполага с национална система за търговия с емисии за сградите и за автомобилния транспорт или с данък върху въглеродните емисии, националните мерки, които са вече въведени за смекчаване на социалните въздействия и предизвикателства, могат да бъдат включени в плана, при условие че са в съответствие с настоящия регламент.</w:t>
      </w:r>
    </w:p>
    <w:p w:rsidR="00106A2A" w:rsidRPr="00106A2A" w:rsidRDefault="00106A2A" w:rsidP="00106A2A">
      <w:pPr>
        <w:keepNext/>
        <w:widowControl/>
        <w:spacing w:before="360" w:after="120" w:line="360" w:lineRule="auto"/>
        <w:jc w:val="center"/>
        <w:rPr>
          <w:rFonts w:eastAsia="Calibri"/>
          <w:szCs w:val="22"/>
          <w:lang w:eastAsia="en-US"/>
        </w:rPr>
      </w:pPr>
      <w:r w:rsidRPr="00106A2A">
        <w:rPr>
          <w:rFonts w:eastAsia="Calibri"/>
          <w:b/>
          <w:i/>
          <w:szCs w:val="22"/>
          <w:lang w:eastAsia="en-US"/>
        </w:rPr>
        <w:t>Член 5</w:t>
      </w:r>
      <w:r w:rsidRPr="00106A2A">
        <w:rPr>
          <w:rFonts w:eastAsia="Calibri"/>
          <w:b/>
          <w:i/>
          <w:szCs w:val="22"/>
          <w:lang w:eastAsia="en-US"/>
        </w:rPr>
        <w:br/>
        <w:t>Обществена консултация</w:t>
      </w:r>
    </w:p>
    <w:p w:rsidR="00106A2A" w:rsidRPr="00106A2A" w:rsidRDefault="00106A2A" w:rsidP="00106A2A">
      <w:pPr>
        <w:widowControl/>
        <w:spacing w:before="120" w:after="120" w:line="360" w:lineRule="auto"/>
        <w:ind w:left="851" w:hanging="851"/>
        <w:rPr>
          <w:rFonts w:eastAsia="Calibri"/>
          <w:b/>
          <w:i/>
          <w:szCs w:val="22"/>
          <w:lang w:eastAsia="en-US"/>
        </w:rPr>
      </w:pPr>
      <w:r w:rsidRPr="00106A2A">
        <w:rPr>
          <w:rFonts w:eastAsia="Calibri"/>
          <w:b/>
          <w:i/>
          <w:szCs w:val="22"/>
          <w:lang w:eastAsia="en-US"/>
        </w:rPr>
        <w:t>1.</w:t>
      </w:r>
      <w:r w:rsidRPr="00106A2A">
        <w:rPr>
          <w:rFonts w:eastAsia="Calibri"/>
          <w:b/>
          <w:i/>
          <w:szCs w:val="22"/>
          <w:lang w:eastAsia="en-US"/>
        </w:rPr>
        <w:tab/>
        <w:t>Всяка държава членка представя на Комисията плана след обществена консултация с местните и регионалните органи, представителите на икономическите и социалните партньори, съответните организации на гражданското общество, младежките организации и други заинтересовани страни. Всяка държава членка провежда посочената консултация в съответствие с изискванията на член 10 от Регламент (ЕС) 2018/1999 и в съответствие със своята национална правна уредба.</w:t>
      </w:r>
    </w:p>
    <w:p w:rsidR="00106A2A" w:rsidRPr="00106A2A" w:rsidRDefault="00106A2A" w:rsidP="00106A2A">
      <w:pPr>
        <w:widowControl/>
        <w:spacing w:before="120" w:after="120" w:line="360" w:lineRule="auto"/>
        <w:rPr>
          <w:rFonts w:eastAsia="Calibri"/>
          <w:b/>
          <w:bCs/>
          <w:i/>
          <w:iCs/>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851" w:hanging="851"/>
        <w:rPr>
          <w:rFonts w:eastAsia="Calibri"/>
          <w:b/>
          <w:bCs/>
          <w:i/>
          <w:iCs/>
          <w:lang w:eastAsia="en-US"/>
        </w:rPr>
      </w:pPr>
      <w:r w:rsidRPr="00106A2A">
        <w:rPr>
          <w:rFonts w:eastAsia="Calibri"/>
          <w:b/>
          <w:bCs/>
          <w:i/>
          <w:iCs/>
          <w:lang w:eastAsia="en-US"/>
        </w:rPr>
        <w:t>2.</w:t>
      </w:r>
      <w:r w:rsidRPr="00106A2A">
        <w:rPr>
          <w:rFonts w:eastAsia="Calibri"/>
          <w:b/>
          <w:bCs/>
          <w:i/>
          <w:iCs/>
          <w:lang w:eastAsia="en-US"/>
        </w:rPr>
        <w:tab/>
      </w:r>
      <w:r w:rsidRPr="00106A2A">
        <w:rPr>
          <w:rFonts w:eastAsia="Calibri"/>
          <w:b/>
          <w:i/>
          <w:szCs w:val="22"/>
          <w:lang w:eastAsia="en-US"/>
        </w:rPr>
        <w:t>Всяка държава членка включва в своя план обобщение на:</w:t>
      </w:r>
    </w:p>
    <w:p w:rsidR="00106A2A" w:rsidRPr="00106A2A" w:rsidRDefault="00106A2A" w:rsidP="00106A2A">
      <w:pPr>
        <w:widowControl/>
        <w:spacing w:before="120" w:after="120" w:line="360" w:lineRule="auto"/>
        <w:ind w:left="1418" w:hanging="567"/>
        <w:rPr>
          <w:rFonts w:eastAsia="Calibri"/>
          <w:b/>
          <w:bCs/>
          <w:i/>
          <w:iCs/>
          <w:lang w:eastAsia="en-US"/>
        </w:rPr>
      </w:pPr>
      <w:r w:rsidRPr="00106A2A">
        <w:rPr>
          <w:rFonts w:eastAsia="Calibri"/>
          <w:b/>
          <w:i/>
          <w:szCs w:val="22"/>
          <w:lang w:eastAsia="en-US"/>
        </w:rPr>
        <w:t>а)</w:t>
      </w:r>
      <w:r w:rsidRPr="00106A2A">
        <w:rPr>
          <w:rFonts w:eastAsia="Calibri"/>
          <w:b/>
          <w:i/>
          <w:szCs w:val="22"/>
          <w:lang w:eastAsia="en-US"/>
        </w:rPr>
        <w:tab/>
        <w:t>консултацията, проведена съгласно параграф 1; и</w:t>
      </w:r>
    </w:p>
    <w:p w:rsidR="00106A2A" w:rsidRPr="00106A2A" w:rsidRDefault="00106A2A" w:rsidP="00106A2A">
      <w:pPr>
        <w:widowControl/>
        <w:spacing w:before="120" w:after="120" w:line="360" w:lineRule="auto"/>
        <w:ind w:left="1418" w:hanging="567"/>
        <w:rPr>
          <w:rFonts w:eastAsia="Calibri"/>
          <w:b/>
          <w:bCs/>
          <w:i/>
          <w:iCs/>
          <w:lang w:eastAsia="en-US"/>
        </w:rPr>
      </w:pPr>
      <w:r w:rsidRPr="00106A2A">
        <w:rPr>
          <w:rFonts w:eastAsia="Calibri"/>
          <w:b/>
          <w:i/>
          <w:szCs w:val="22"/>
          <w:lang w:eastAsia="en-US"/>
        </w:rPr>
        <w:t>б)</w:t>
      </w:r>
      <w:r w:rsidRPr="00106A2A">
        <w:rPr>
          <w:rFonts w:eastAsia="Calibri"/>
          <w:b/>
          <w:i/>
          <w:szCs w:val="22"/>
          <w:lang w:eastAsia="en-US"/>
        </w:rPr>
        <w:tab/>
        <w:t>начина, по който приносът на заинтересованите страни, участвали в консултацията, е отразен в плана.</w:t>
      </w:r>
    </w:p>
    <w:p w:rsidR="00106A2A" w:rsidRPr="00106A2A" w:rsidRDefault="00106A2A" w:rsidP="00106A2A">
      <w:pPr>
        <w:widowControl/>
        <w:spacing w:before="120" w:after="120" w:line="360" w:lineRule="auto"/>
        <w:ind w:left="851" w:hanging="851"/>
        <w:rPr>
          <w:rFonts w:eastAsia="Calibri"/>
          <w:b/>
          <w:bCs/>
          <w:i/>
          <w:iCs/>
          <w:szCs w:val="22"/>
          <w:lang w:eastAsia="en-US"/>
        </w:rPr>
      </w:pPr>
      <w:r w:rsidRPr="00106A2A">
        <w:rPr>
          <w:rFonts w:eastAsia="Calibri"/>
          <w:b/>
          <w:i/>
          <w:szCs w:val="22"/>
          <w:lang w:eastAsia="en-US"/>
        </w:rPr>
        <w:t>3.</w:t>
      </w:r>
      <w:r w:rsidRPr="00106A2A">
        <w:rPr>
          <w:rFonts w:eastAsia="Calibri"/>
          <w:b/>
          <w:i/>
          <w:szCs w:val="22"/>
          <w:lang w:eastAsia="en-US"/>
        </w:rPr>
        <w:tab/>
        <w:t>За целите на член 16, параграф 3 Комисията преценява дали планът е разработен в консултация със заинтересованите страни в съответствие с параграф 1 от настоящия член.</w:t>
      </w:r>
    </w:p>
    <w:p w:rsidR="00106A2A" w:rsidRPr="00106A2A" w:rsidRDefault="00106A2A" w:rsidP="00106A2A">
      <w:pPr>
        <w:widowControl/>
        <w:spacing w:before="120" w:after="120" w:line="360" w:lineRule="auto"/>
        <w:ind w:left="851" w:hanging="851"/>
        <w:rPr>
          <w:rFonts w:eastAsia="Calibri"/>
          <w:b/>
          <w:bCs/>
          <w:i/>
          <w:iCs/>
          <w:szCs w:val="22"/>
          <w:lang w:eastAsia="en-US"/>
        </w:rPr>
      </w:pPr>
      <w:r w:rsidRPr="00106A2A">
        <w:rPr>
          <w:rFonts w:eastAsia="Calibri"/>
          <w:b/>
          <w:i/>
          <w:szCs w:val="22"/>
          <w:lang w:eastAsia="en-US"/>
        </w:rPr>
        <w:t>4.</w:t>
      </w:r>
      <w:r w:rsidRPr="00106A2A">
        <w:rPr>
          <w:rFonts w:eastAsia="Calibri"/>
          <w:b/>
          <w:i/>
          <w:szCs w:val="22"/>
          <w:lang w:eastAsia="en-US"/>
        </w:rPr>
        <w:tab/>
        <w:t>Комисията подкрепя държавите членки, като дава примери за добри практики на консултации относно плановете в съответствие с член 6, параграф 4.</w:t>
      </w:r>
    </w:p>
    <w:p w:rsidR="00106A2A" w:rsidRPr="00106A2A" w:rsidRDefault="00106A2A" w:rsidP="00106A2A">
      <w:pPr>
        <w:keepNext/>
        <w:widowControl/>
        <w:spacing w:before="360" w:after="120" w:line="360" w:lineRule="auto"/>
        <w:jc w:val="center"/>
        <w:rPr>
          <w:rFonts w:eastAsia="Calibri"/>
          <w:szCs w:val="22"/>
          <w:lang w:eastAsia="en-US"/>
        </w:rPr>
      </w:pPr>
      <w:r w:rsidRPr="00106A2A">
        <w:rPr>
          <w:rFonts w:eastAsia="Calibri"/>
          <w:szCs w:val="22"/>
          <w:lang w:eastAsia="en-US"/>
        </w:rPr>
        <w:t>Член 6</w:t>
      </w:r>
      <w:r w:rsidRPr="00106A2A">
        <w:rPr>
          <w:rFonts w:eastAsia="Calibri"/>
          <w:szCs w:val="22"/>
          <w:lang w:eastAsia="en-US"/>
        </w:rPr>
        <w:br/>
        <w:t>Съдържание на социалните планове за климата</w:t>
      </w:r>
    </w:p>
    <w:p w:rsidR="00106A2A" w:rsidRPr="00106A2A" w:rsidRDefault="00106A2A" w:rsidP="00106A2A">
      <w:pPr>
        <w:widowControl/>
        <w:spacing w:before="120" w:after="120" w:line="360" w:lineRule="auto"/>
        <w:ind w:left="851" w:hanging="851"/>
        <w:jc w:val="both"/>
        <w:rPr>
          <w:rFonts w:eastAsia="Calibri"/>
          <w:szCs w:val="22"/>
          <w:lang w:eastAsia="en-US"/>
        </w:rPr>
      </w:pPr>
      <w:r w:rsidRPr="00106A2A">
        <w:rPr>
          <w:rFonts w:eastAsia="Calibri"/>
          <w:szCs w:val="22"/>
          <w:lang w:eastAsia="en-US"/>
        </w:rPr>
        <w:t>1.</w:t>
      </w:r>
      <w:r w:rsidRPr="00106A2A">
        <w:rPr>
          <w:rFonts w:eastAsia="Calibri"/>
          <w:szCs w:val="22"/>
          <w:lang w:eastAsia="en-US"/>
        </w:rPr>
        <w:tab/>
        <w:t>В плана се определят ▌ следните елементи:</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t>a)</w:t>
      </w:r>
      <w:r w:rsidRPr="00106A2A">
        <w:rPr>
          <w:rFonts w:eastAsia="Calibri"/>
          <w:szCs w:val="22"/>
          <w:lang w:eastAsia="en-US"/>
        </w:rPr>
        <w:tab/>
        <w:t xml:space="preserve">конкретни мерки и инвестиции в съответствие с </w:t>
      </w:r>
      <w:r w:rsidRPr="00106A2A">
        <w:rPr>
          <w:rFonts w:eastAsia="Calibri"/>
          <w:b/>
          <w:i/>
          <w:szCs w:val="22"/>
          <w:lang w:eastAsia="en-US"/>
        </w:rPr>
        <w:t xml:space="preserve">членове 4 и 8 </w:t>
      </w:r>
      <w:r w:rsidRPr="00106A2A">
        <w:rPr>
          <w:rFonts w:eastAsia="Calibri"/>
          <w:szCs w:val="22"/>
          <w:lang w:eastAsia="en-US"/>
        </w:rPr>
        <w:t>за намаляване на последиците, посочени в буква г) на настоящия параграф, заедно с обяснение как тези мерки и инвестиции действително биха допринесли за постигането на целите, определени в член 3, в цялостния контекст на съответните ▌политики на държавата членка;</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t>б)</w:t>
      </w:r>
      <w:r w:rsidRPr="00106A2A">
        <w:rPr>
          <w:rFonts w:eastAsia="Calibri"/>
          <w:szCs w:val="22"/>
          <w:lang w:eastAsia="en-US"/>
        </w:rPr>
        <w:tab/>
      </w:r>
      <w:r w:rsidRPr="00106A2A">
        <w:rPr>
          <w:rFonts w:eastAsia="Calibri"/>
          <w:b/>
          <w:i/>
          <w:szCs w:val="22"/>
          <w:lang w:eastAsia="en-US"/>
        </w:rPr>
        <w:t xml:space="preserve">когато е приложимо, </w:t>
      </w:r>
      <w:r w:rsidRPr="00106A2A">
        <w:rPr>
          <w:rFonts w:eastAsia="Calibri"/>
          <w:szCs w:val="22"/>
          <w:lang w:eastAsia="en-US"/>
        </w:rPr>
        <w:t>конкретни</w:t>
      </w:r>
      <w:r w:rsidRPr="00106A2A">
        <w:rPr>
          <w:rFonts w:eastAsia="Calibri"/>
          <w:b/>
          <w:i/>
          <w:szCs w:val="22"/>
          <w:lang w:eastAsia="en-US"/>
        </w:rPr>
        <w:t>, взаимно съгласувани и засилени</w:t>
      </w:r>
      <w:r w:rsidRPr="00106A2A">
        <w:rPr>
          <w:rFonts w:eastAsia="Calibri"/>
          <w:szCs w:val="22"/>
          <w:lang w:eastAsia="en-US"/>
        </w:rPr>
        <w:t xml:space="preserve"> съпътстващи мерки ▌за осъществяване на мерките и инвестициите и за намаляване на последиците, посочени в буква г) ▌;</w:t>
      </w:r>
    </w:p>
    <w:p w:rsidR="00106A2A" w:rsidRPr="00106A2A" w:rsidRDefault="00106A2A" w:rsidP="00106A2A">
      <w:pPr>
        <w:widowControl/>
        <w:spacing w:before="120" w:after="120" w:line="360" w:lineRule="auto"/>
        <w:rPr>
          <w:rFonts w:eastAsia="Calibri"/>
          <w:b/>
          <w: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b/>
          <w:i/>
          <w:szCs w:val="22"/>
          <w:lang w:eastAsia="en-US"/>
        </w:rPr>
        <w:t>в)</w:t>
      </w:r>
      <w:r w:rsidRPr="00106A2A">
        <w:rPr>
          <w:rFonts w:eastAsia="Calibri"/>
          <w:szCs w:val="22"/>
          <w:lang w:eastAsia="en-US"/>
        </w:rPr>
        <w:tab/>
      </w:r>
      <w:r w:rsidRPr="00106A2A">
        <w:rPr>
          <w:rFonts w:eastAsia="Calibri"/>
          <w:b/>
          <w:i/>
          <w:szCs w:val="22"/>
          <w:lang w:eastAsia="en-US"/>
        </w:rPr>
        <w:t>информация относно съществуващо или планирано финансиране на мерки и инвестиции от други източници на Съюза, международни източници, публични, или ако е приложимо, частни източници, които да допринасят към мерките и инвестициите, определени в плана, включително информация за временно пряко подпомагане на доходите;</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t>г)</w:t>
      </w:r>
      <w:r w:rsidRPr="00106A2A">
        <w:rPr>
          <w:rFonts w:eastAsia="Calibri"/>
          <w:szCs w:val="22"/>
          <w:lang w:eastAsia="en-US"/>
        </w:rPr>
        <w:tab/>
        <w:t xml:space="preserve">прогноза за вероятните последици от увеличението на цените, </w:t>
      </w:r>
      <w:r w:rsidRPr="00106A2A">
        <w:rPr>
          <w:rFonts w:eastAsia="Calibri"/>
          <w:b/>
          <w:i/>
          <w:szCs w:val="22"/>
          <w:lang w:eastAsia="en-US"/>
        </w:rPr>
        <w:t xml:space="preserve">в резултат на включването на емисиите на парникови газове от сградите и от автомобилния транспорт в приложното поле на Директива 2003/87/ЕО, за домакинствата, </w:t>
      </w:r>
      <w:r w:rsidRPr="00106A2A">
        <w:rPr>
          <w:rFonts w:eastAsia="Calibri"/>
          <w:szCs w:val="22"/>
          <w:lang w:eastAsia="en-US"/>
        </w:rPr>
        <w:t xml:space="preserve">и по-специално за </w:t>
      </w:r>
      <w:r w:rsidRPr="00106A2A">
        <w:rPr>
          <w:rFonts w:eastAsia="Calibri"/>
          <w:b/>
          <w:i/>
          <w:szCs w:val="22"/>
          <w:lang w:eastAsia="en-US"/>
        </w:rPr>
        <w:t>разпространението на енергийната и транспортната бедност, и за микропредприятията</w:t>
      </w:r>
      <w:r w:rsidRPr="00106A2A">
        <w:rPr>
          <w:rFonts w:eastAsia="Calibri"/>
          <w:szCs w:val="22"/>
          <w:lang w:eastAsia="en-US"/>
        </w:rPr>
        <w:t xml:space="preserve">; тези </w:t>
      </w:r>
      <w:r w:rsidRPr="00106A2A">
        <w:rPr>
          <w:rFonts w:eastAsia="Calibri"/>
          <w:b/>
          <w:i/>
          <w:szCs w:val="22"/>
          <w:lang w:eastAsia="en-US"/>
        </w:rPr>
        <w:t>последици</w:t>
      </w:r>
      <w:r w:rsidRPr="00106A2A">
        <w:rPr>
          <w:rFonts w:eastAsia="Calibri"/>
          <w:szCs w:val="22"/>
          <w:lang w:eastAsia="en-US"/>
        </w:rPr>
        <w:t xml:space="preserve"> трябва да бъдат анализирани на </w:t>
      </w:r>
      <w:r w:rsidRPr="00106A2A">
        <w:rPr>
          <w:rFonts w:eastAsia="Calibri"/>
          <w:b/>
          <w:i/>
          <w:szCs w:val="22"/>
          <w:lang w:eastAsia="en-US"/>
        </w:rPr>
        <w:t>подходящото териториално</w:t>
      </w:r>
      <w:r w:rsidRPr="00106A2A">
        <w:rPr>
          <w:rFonts w:eastAsia="Calibri"/>
          <w:szCs w:val="22"/>
          <w:lang w:eastAsia="en-US"/>
        </w:rPr>
        <w:t xml:space="preserve"> равнище</w:t>
      </w:r>
      <w:r w:rsidRPr="00106A2A">
        <w:rPr>
          <w:rFonts w:eastAsia="Calibri"/>
          <w:b/>
          <w:i/>
          <w:szCs w:val="22"/>
          <w:lang w:eastAsia="en-US"/>
        </w:rPr>
        <w:t>, определено от всяка държава членка</w:t>
      </w:r>
      <w:r w:rsidRPr="00106A2A">
        <w:rPr>
          <w:rFonts w:eastAsia="Calibri"/>
          <w:szCs w:val="22"/>
          <w:lang w:eastAsia="en-US"/>
        </w:rPr>
        <w:t xml:space="preserve">, като се вземат предвид </w:t>
      </w:r>
      <w:r w:rsidRPr="00106A2A">
        <w:rPr>
          <w:rFonts w:eastAsia="Calibri"/>
          <w:b/>
          <w:i/>
          <w:szCs w:val="22"/>
          <w:lang w:eastAsia="en-US"/>
        </w:rPr>
        <w:t xml:space="preserve">националните особености и </w:t>
      </w:r>
      <w:r w:rsidRPr="00106A2A">
        <w:rPr>
          <w:rFonts w:eastAsia="Calibri"/>
          <w:szCs w:val="22"/>
          <w:lang w:eastAsia="en-US"/>
        </w:rPr>
        <w:t>елементи, като например достъпа до обществен транспорт и основни услуги, и се определят най-засегнатите области ▌ ;</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b/>
          <w:i/>
          <w:szCs w:val="22"/>
          <w:lang w:eastAsia="en-US"/>
        </w:rPr>
        <w:t>д)</w:t>
      </w:r>
      <w:r w:rsidRPr="00106A2A">
        <w:rPr>
          <w:rFonts w:eastAsia="Calibri"/>
          <w:szCs w:val="22"/>
          <w:lang w:eastAsia="en-US"/>
        </w:rPr>
        <w:tab/>
      </w:r>
      <w:r w:rsidRPr="00106A2A">
        <w:rPr>
          <w:rFonts w:eastAsia="Calibri"/>
          <w:b/>
          <w:i/>
          <w:szCs w:val="22"/>
          <w:lang w:eastAsia="en-US"/>
        </w:rPr>
        <w:t>прогнозиране на броя и определяне на уязвимите домакинства, уязвимите микропредприятия и уязвимите ползватели на транспорт;</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b/>
          <w:i/>
          <w:szCs w:val="22"/>
          <w:lang w:eastAsia="en-US"/>
        </w:rPr>
        <w:t>е)</w:t>
      </w:r>
      <w:r w:rsidRPr="00106A2A">
        <w:rPr>
          <w:rFonts w:eastAsia="Calibri"/>
          <w:szCs w:val="22"/>
          <w:lang w:eastAsia="en-US"/>
        </w:rPr>
        <w:tab/>
      </w:r>
      <w:r w:rsidRPr="00106A2A">
        <w:rPr>
          <w:rFonts w:eastAsia="Calibri"/>
          <w:b/>
          <w:i/>
          <w:szCs w:val="22"/>
          <w:lang w:eastAsia="en-US"/>
        </w:rPr>
        <w:t>обяснение на начина, по който определенията за енергийната и транспортната бедност трябва да се прилагат на национално равнище;</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br w:type="page"/>
        <w:t>ж)</w:t>
      </w:r>
      <w:r w:rsidRPr="00106A2A">
        <w:rPr>
          <w:rFonts w:eastAsia="Calibri"/>
          <w:szCs w:val="22"/>
          <w:lang w:eastAsia="en-US"/>
        </w:rPr>
        <w:tab/>
        <w:t>когато планът предвижда мерки по член 4, параграф 3, критериите за определяне на отговарящите на условията крайни получатели, предвиденият срок за въпросните мерки и тяхната обосновка въз основа на количествена оценка и качествено пояснение как се очаква тези мерки да намалят енергийната и транспортната бедност и уязвимостта на домакинствата ▌на нарастване на цената на автомобилния транспорт и на горивата за отопление;</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t>з)</w:t>
      </w:r>
      <w:r w:rsidRPr="00106A2A">
        <w:rPr>
          <w:rFonts w:eastAsia="Calibri"/>
          <w:szCs w:val="22"/>
          <w:lang w:eastAsia="en-US"/>
        </w:rPr>
        <w:tab/>
        <w:t xml:space="preserve">предвидените междинни цели, </w:t>
      </w:r>
      <w:r w:rsidRPr="00106A2A">
        <w:rPr>
          <w:rFonts w:eastAsia="Calibri"/>
          <w:bCs/>
          <w:iCs/>
          <w:szCs w:val="22"/>
          <w:lang w:eastAsia="en-US"/>
        </w:rPr>
        <w:t>целеви стойности</w:t>
      </w:r>
      <w:r w:rsidRPr="00106A2A">
        <w:rPr>
          <w:rFonts w:eastAsia="Calibri"/>
          <w:szCs w:val="22"/>
          <w:lang w:eastAsia="en-US"/>
        </w:rPr>
        <w:t xml:space="preserve"> и примерен </w:t>
      </w:r>
      <w:r w:rsidRPr="00106A2A">
        <w:rPr>
          <w:rFonts w:eastAsia="Calibri"/>
          <w:b/>
          <w:i/>
          <w:szCs w:val="22"/>
          <w:lang w:eastAsia="en-US"/>
        </w:rPr>
        <w:t xml:space="preserve">подробен </w:t>
      </w:r>
      <w:r w:rsidRPr="00106A2A">
        <w:rPr>
          <w:rFonts w:eastAsia="Calibri"/>
          <w:szCs w:val="22"/>
          <w:lang w:eastAsia="en-US"/>
        </w:rPr>
        <w:t>график за изпълнението на мерките и инвестициите, които трябва да бъдат осъществени до 31 юли 2032 г.;</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b/>
          <w:i/>
          <w:szCs w:val="22"/>
          <w:lang w:eastAsia="en-US"/>
        </w:rPr>
        <w:t>и)</w:t>
      </w:r>
      <w:r w:rsidRPr="00106A2A">
        <w:rPr>
          <w:rFonts w:eastAsia="Calibri"/>
          <w:szCs w:val="22"/>
          <w:lang w:eastAsia="en-US"/>
        </w:rPr>
        <w:tab/>
      </w:r>
      <w:r w:rsidRPr="00106A2A">
        <w:rPr>
          <w:rFonts w:eastAsia="Calibri"/>
          <w:b/>
          <w:i/>
          <w:szCs w:val="22"/>
          <w:lang w:eastAsia="en-US"/>
        </w:rPr>
        <w:t>когато е приложимо, график за постепенно намаляване на подкрепата за превозни средства с ниски емисии;</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t>й)</w:t>
      </w:r>
      <w:r w:rsidRPr="00106A2A">
        <w:rPr>
          <w:rFonts w:eastAsia="Calibri"/>
          <w:szCs w:val="22"/>
          <w:lang w:eastAsia="en-US"/>
        </w:rPr>
        <w:tab/>
        <w:t xml:space="preserve">прогнозните общи разходи за плана ▌заедно с подходяща ▌ обосновка и пояснения как </w:t>
      </w:r>
      <w:r w:rsidRPr="00106A2A">
        <w:rPr>
          <w:rFonts w:eastAsia="Calibri"/>
          <w:b/>
          <w:i/>
          <w:szCs w:val="22"/>
          <w:lang w:eastAsia="en-US"/>
        </w:rPr>
        <w:t xml:space="preserve">те </w:t>
      </w:r>
      <w:r w:rsidRPr="00106A2A">
        <w:rPr>
          <w:rFonts w:eastAsia="Calibri"/>
          <w:szCs w:val="22"/>
          <w:lang w:eastAsia="en-US"/>
        </w:rPr>
        <w:t>спазват принципа за ефективност на разходите и по какъв начин са съизмерими с очакваното въздействие на плана;</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t>к)</w:t>
      </w:r>
      <w:r w:rsidRPr="00106A2A">
        <w:rPr>
          <w:rFonts w:eastAsia="Calibri"/>
          <w:szCs w:val="22"/>
          <w:lang w:eastAsia="en-US"/>
        </w:rPr>
        <w:tab/>
        <w:t>предвиденото национално участие в прогнозните общи разходи за плана, изчислено в съответствие с член 15;</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t>л)</w:t>
      </w:r>
      <w:r w:rsidRPr="00106A2A">
        <w:rPr>
          <w:rFonts w:eastAsia="Calibri"/>
          <w:szCs w:val="22"/>
          <w:lang w:eastAsia="en-US"/>
        </w:rPr>
        <w:tab/>
        <w:t>с изключение на мерките, посочени в член 4, параграф 3, обяснение на начина, по който планът гарантира, че никоя от мерките или инвестициите няма да нанесе значителни вреди за екологичните цели по смисъла на член 17 от Регламент (ЕС) 2020/852;</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t>м)</w:t>
      </w:r>
      <w:r w:rsidRPr="00106A2A">
        <w:rPr>
          <w:rFonts w:eastAsia="Calibri"/>
          <w:szCs w:val="22"/>
          <w:lang w:eastAsia="en-US"/>
        </w:rPr>
        <w:tab/>
        <w:t xml:space="preserve">мерките за ефективния мониторинг и ефективното изпълнение на плана от съответната държава членка, по-конкретно предложените междинни цели и </w:t>
      </w:r>
      <w:r w:rsidRPr="00106A2A">
        <w:rPr>
          <w:rFonts w:eastAsia="Calibri"/>
          <w:bCs/>
          <w:iCs/>
          <w:szCs w:val="22"/>
          <w:lang w:eastAsia="en-US"/>
        </w:rPr>
        <w:t>целеви стойности</w:t>
      </w:r>
      <w:r w:rsidRPr="00106A2A">
        <w:rPr>
          <w:rFonts w:eastAsia="Calibri"/>
          <w:szCs w:val="22"/>
          <w:lang w:eastAsia="en-US"/>
        </w:rPr>
        <w:t xml:space="preserve">, </w:t>
      </w:r>
      <w:r w:rsidRPr="00106A2A">
        <w:rPr>
          <w:rFonts w:eastAsia="Calibri"/>
          <w:b/>
          <w:i/>
          <w:szCs w:val="22"/>
          <w:lang w:eastAsia="en-US"/>
        </w:rPr>
        <w:t>приложимите общи показатели, посочени в приложение IV, а ако никой от тях не е приложим за специфична мярка или инвестиция — допълнителни индивидуални показатели, предложени от съответната държава членка</w:t>
      </w:r>
      <w:r w:rsidRPr="00106A2A">
        <w:rPr>
          <w:rFonts w:eastAsia="Calibri"/>
          <w:szCs w:val="22"/>
          <w:lang w:eastAsia="en-US"/>
        </w:rPr>
        <w:t>;</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br w:type="page"/>
        <w:t>н)</w:t>
      </w:r>
      <w:r w:rsidRPr="00106A2A">
        <w:rPr>
          <w:rFonts w:eastAsia="Calibri"/>
          <w:szCs w:val="22"/>
          <w:lang w:eastAsia="en-US"/>
        </w:rPr>
        <w:tab/>
        <w:t xml:space="preserve">за изготвянето и когато е възможно, за изпълнението на плана, обобщение на процеса на обществената консултация, </w:t>
      </w:r>
      <w:r w:rsidRPr="00106A2A">
        <w:rPr>
          <w:rFonts w:eastAsia="Calibri"/>
          <w:b/>
          <w:i/>
          <w:szCs w:val="22"/>
          <w:lang w:eastAsia="en-US"/>
        </w:rPr>
        <w:t>посочена в член 5</w:t>
      </w:r>
      <w:r w:rsidRPr="00106A2A">
        <w:rPr>
          <w:rFonts w:eastAsia="Calibri"/>
          <w:szCs w:val="22"/>
          <w:lang w:eastAsia="en-US"/>
        </w:rPr>
        <w:t>;</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t>о)</w:t>
      </w:r>
      <w:r w:rsidRPr="00106A2A">
        <w:rPr>
          <w:rFonts w:eastAsia="Calibri"/>
          <w:szCs w:val="22"/>
          <w:lang w:eastAsia="en-US"/>
        </w:rPr>
        <w:tab/>
        <w:t xml:space="preserve">обяснение на системата на държавата членка за предотвратяване, разкриване и поправяне на измами, корупция и конфликти на интереси при използването на </w:t>
      </w:r>
      <w:r w:rsidRPr="00106A2A">
        <w:rPr>
          <w:rFonts w:eastAsia="Calibri"/>
          <w:b/>
          <w:i/>
          <w:szCs w:val="22"/>
          <w:lang w:eastAsia="en-US"/>
        </w:rPr>
        <w:t>разпределените финансови средства</w:t>
      </w:r>
      <w:r w:rsidRPr="00106A2A">
        <w:rPr>
          <w:rFonts w:eastAsia="Calibri"/>
          <w:szCs w:val="22"/>
          <w:lang w:eastAsia="en-US"/>
        </w:rPr>
        <w:t xml:space="preserve"> по линия на Фонда и на мерките, които имат за цел избягване на двойно финансиране от Фонда и от други програми на Съюза;</w:t>
      </w:r>
    </w:p>
    <w:p w:rsidR="00106A2A" w:rsidRPr="00106A2A" w:rsidRDefault="00106A2A" w:rsidP="00106A2A">
      <w:pPr>
        <w:widowControl/>
        <w:spacing w:before="120" w:after="120" w:line="360" w:lineRule="auto"/>
        <w:ind w:left="1418" w:hanging="567"/>
        <w:rPr>
          <w:rFonts w:eastAsia="Calibri"/>
          <w:b/>
          <w:i/>
          <w:szCs w:val="22"/>
          <w:lang w:eastAsia="en-US"/>
        </w:rPr>
      </w:pPr>
      <w:r w:rsidRPr="00106A2A">
        <w:rPr>
          <w:rFonts w:eastAsia="Calibri"/>
          <w:b/>
          <w:i/>
          <w:szCs w:val="22"/>
          <w:lang w:eastAsia="en-US"/>
        </w:rPr>
        <w:t>п)</w:t>
      </w:r>
      <w:r w:rsidRPr="00106A2A">
        <w:rPr>
          <w:rFonts w:eastAsia="Calibri"/>
          <w:szCs w:val="22"/>
          <w:lang w:eastAsia="en-US"/>
        </w:rPr>
        <w:tab/>
      </w:r>
      <w:r w:rsidRPr="00106A2A">
        <w:rPr>
          <w:rFonts w:eastAsia="Calibri"/>
          <w:b/>
          <w:i/>
          <w:szCs w:val="22"/>
          <w:lang w:eastAsia="en-US"/>
        </w:rPr>
        <w:t>когато е приложимо и целесъобразно, обяснение на начина, по който географските особености, като например острови, най-отдалечени региони и територии, селски или отдалечени райони, по-малко достъпни периферни райони, планински райони или райони, които изостават, са взети предвид в плана;</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b/>
          <w:i/>
          <w:szCs w:val="22"/>
          <w:lang w:eastAsia="en-US"/>
        </w:rPr>
        <w:t>р)</w:t>
      </w:r>
      <w:r w:rsidRPr="00106A2A">
        <w:rPr>
          <w:rFonts w:eastAsia="Calibri"/>
          <w:szCs w:val="22"/>
          <w:lang w:eastAsia="en-US"/>
        </w:rPr>
        <w:tab/>
      </w:r>
      <w:r w:rsidRPr="00106A2A">
        <w:rPr>
          <w:rFonts w:eastAsia="Calibri"/>
          <w:b/>
          <w:i/>
          <w:szCs w:val="22"/>
          <w:lang w:eastAsia="en-US"/>
        </w:rPr>
        <w:t>когато е целесъобразно, обяснение на начина, по който мерките и инвестициите са насочени към преодоляване на неравенството между половете.</w:t>
      </w:r>
    </w:p>
    <w:p w:rsidR="00106A2A" w:rsidRPr="00106A2A" w:rsidRDefault="00106A2A" w:rsidP="00106A2A">
      <w:pPr>
        <w:widowControl/>
        <w:spacing w:before="120" w:after="120" w:line="360" w:lineRule="auto"/>
        <w:rPr>
          <w:rFonts w:eastAsia="Calibri"/>
          <w:b/>
          <w: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b/>
          <w:i/>
          <w:szCs w:val="22"/>
          <w:lang w:eastAsia="en-US"/>
        </w:rPr>
        <w:t>2.</w:t>
      </w:r>
      <w:r w:rsidRPr="00106A2A">
        <w:rPr>
          <w:rFonts w:eastAsia="Calibri"/>
          <w:szCs w:val="22"/>
          <w:lang w:eastAsia="en-US"/>
        </w:rPr>
        <w:tab/>
      </w:r>
      <w:r w:rsidRPr="00106A2A">
        <w:rPr>
          <w:rFonts w:eastAsia="Calibri"/>
          <w:b/>
          <w:i/>
          <w:szCs w:val="22"/>
          <w:lang w:eastAsia="en-US"/>
        </w:rPr>
        <w:t>Планът може да включва действия за техническа помощ, необходими за ефективното администриране и изпълнение на мерките и инвестициите.</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3.</w:t>
      </w:r>
      <w:r w:rsidRPr="00106A2A">
        <w:rPr>
          <w:rFonts w:eastAsia="Calibri"/>
          <w:szCs w:val="22"/>
          <w:lang w:eastAsia="en-US"/>
        </w:rPr>
        <w:tab/>
        <w:t>Планът трябва да е в съответствие с информацията, включена в следните документи, и с поетите съгласно тях ангажименти от страна на държавата членка:</w:t>
      </w:r>
    </w:p>
    <w:p w:rsidR="00106A2A" w:rsidRPr="00106A2A" w:rsidRDefault="00106A2A" w:rsidP="00106A2A">
      <w:pPr>
        <w:widowControl/>
        <w:spacing w:before="120" w:after="120" w:line="360" w:lineRule="auto"/>
        <w:ind w:left="1560" w:hanging="709"/>
        <w:rPr>
          <w:rFonts w:eastAsia="Calibri"/>
          <w:szCs w:val="22"/>
          <w:lang w:eastAsia="en-US"/>
        </w:rPr>
      </w:pPr>
      <w:r w:rsidRPr="00106A2A">
        <w:rPr>
          <w:rFonts w:eastAsia="Calibri"/>
          <w:szCs w:val="22"/>
          <w:lang w:eastAsia="en-US"/>
        </w:rPr>
        <w:t xml:space="preserve">а) </w:t>
      </w:r>
      <w:r w:rsidRPr="00106A2A">
        <w:rPr>
          <w:rFonts w:eastAsia="Calibri"/>
          <w:szCs w:val="22"/>
          <w:lang w:eastAsia="en-US"/>
        </w:rPr>
        <w:tab/>
        <w:t>Плана за действие на Европейския стълб на социалните права; ▌</w:t>
      </w:r>
    </w:p>
    <w:p w:rsidR="00106A2A" w:rsidRPr="00106A2A" w:rsidRDefault="00106A2A" w:rsidP="00106A2A">
      <w:pPr>
        <w:widowControl/>
        <w:spacing w:before="120" w:after="120" w:line="360" w:lineRule="auto"/>
        <w:ind w:left="1560" w:hanging="709"/>
        <w:rPr>
          <w:rFonts w:eastAsia="Calibri"/>
          <w:szCs w:val="22"/>
          <w:lang w:eastAsia="en-US"/>
        </w:rPr>
      </w:pPr>
      <w:r w:rsidRPr="00106A2A">
        <w:rPr>
          <w:rFonts w:eastAsia="Calibri"/>
          <w:szCs w:val="22"/>
          <w:lang w:eastAsia="en-US"/>
        </w:rPr>
        <w:t xml:space="preserve">б) </w:t>
      </w:r>
      <w:r w:rsidRPr="00106A2A">
        <w:rPr>
          <w:rFonts w:eastAsia="Calibri"/>
          <w:szCs w:val="22"/>
          <w:lang w:eastAsia="en-US"/>
        </w:rPr>
        <w:tab/>
        <w:t xml:space="preserve">програмите на държавата членка в областта на политиката на сближаване съгласно Регламент (ЕС) </w:t>
      </w:r>
      <w:r w:rsidRPr="00106A2A">
        <w:rPr>
          <w:rFonts w:eastAsia="Calibri"/>
          <w:b/>
          <w:i/>
          <w:szCs w:val="22"/>
          <w:lang w:eastAsia="en-US"/>
        </w:rPr>
        <w:t>2021/1060</w:t>
      </w:r>
      <w:r w:rsidRPr="00106A2A">
        <w:rPr>
          <w:rFonts w:eastAsia="Calibri"/>
          <w:szCs w:val="22"/>
          <w:lang w:eastAsia="en-US"/>
        </w:rPr>
        <w:t>;</w:t>
      </w:r>
    </w:p>
    <w:p w:rsidR="00106A2A" w:rsidRPr="00106A2A" w:rsidRDefault="00106A2A" w:rsidP="00106A2A">
      <w:pPr>
        <w:widowControl/>
        <w:spacing w:before="120" w:after="120" w:line="360" w:lineRule="auto"/>
        <w:ind w:left="1560" w:hanging="709"/>
        <w:rPr>
          <w:rFonts w:eastAsia="Calibri"/>
          <w:szCs w:val="22"/>
          <w:lang w:eastAsia="en-US"/>
        </w:rPr>
      </w:pPr>
      <w:r w:rsidRPr="00106A2A">
        <w:rPr>
          <w:rFonts w:eastAsia="Calibri"/>
          <w:szCs w:val="22"/>
          <w:lang w:eastAsia="en-US"/>
        </w:rPr>
        <w:t xml:space="preserve">в) </w:t>
      </w:r>
      <w:r w:rsidRPr="00106A2A">
        <w:rPr>
          <w:rFonts w:eastAsia="Calibri"/>
          <w:szCs w:val="22"/>
          <w:lang w:eastAsia="en-US"/>
        </w:rPr>
        <w:tab/>
        <w:t>плана на държавата членка за възстановяване и устойчивост съгласно Регламент (ЕС) 2021/241;</w:t>
      </w:r>
    </w:p>
    <w:p w:rsidR="00106A2A" w:rsidRPr="00106A2A" w:rsidRDefault="00106A2A" w:rsidP="00106A2A">
      <w:pPr>
        <w:widowControl/>
        <w:spacing w:before="120" w:after="120" w:line="360" w:lineRule="auto"/>
        <w:ind w:left="1560" w:hanging="709"/>
        <w:rPr>
          <w:rFonts w:eastAsia="Calibri"/>
          <w:szCs w:val="22"/>
          <w:lang w:eastAsia="en-US"/>
        </w:rPr>
      </w:pPr>
      <w:r w:rsidRPr="00106A2A">
        <w:rPr>
          <w:rFonts w:eastAsia="Calibri"/>
          <w:szCs w:val="22"/>
          <w:lang w:eastAsia="en-US"/>
        </w:rPr>
        <w:t xml:space="preserve">г) </w:t>
      </w:r>
      <w:r w:rsidRPr="00106A2A">
        <w:rPr>
          <w:rFonts w:eastAsia="Calibri"/>
          <w:szCs w:val="22"/>
          <w:lang w:eastAsia="en-US"/>
        </w:rPr>
        <w:tab/>
      </w:r>
      <w:r w:rsidRPr="00106A2A">
        <w:rPr>
          <w:rFonts w:eastAsia="Calibri"/>
          <w:b/>
          <w:i/>
          <w:szCs w:val="22"/>
          <w:lang w:eastAsia="en-US"/>
        </w:rPr>
        <w:t>плана</w:t>
      </w:r>
      <w:r w:rsidRPr="00106A2A">
        <w:rPr>
          <w:rFonts w:eastAsia="Calibri"/>
          <w:szCs w:val="22"/>
          <w:lang w:eastAsia="en-US"/>
        </w:rPr>
        <w:t xml:space="preserve"> на държавата членка за саниране </w:t>
      </w:r>
      <w:r w:rsidRPr="00106A2A">
        <w:rPr>
          <w:rFonts w:eastAsia="Calibri"/>
          <w:b/>
          <w:i/>
          <w:szCs w:val="22"/>
          <w:lang w:eastAsia="en-US"/>
        </w:rPr>
        <w:t xml:space="preserve">на сгради </w:t>
      </w:r>
      <w:r w:rsidRPr="00106A2A">
        <w:rPr>
          <w:rFonts w:eastAsia="Calibri"/>
          <w:szCs w:val="22"/>
          <w:lang w:eastAsia="en-US"/>
        </w:rPr>
        <w:t>съгласно директивата на Европейския парламент и на Съвета относно енергийните характеристики на сградите (преработен текст);</w:t>
      </w:r>
    </w:p>
    <w:p w:rsidR="00106A2A" w:rsidRPr="00106A2A" w:rsidRDefault="00106A2A" w:rsidP="00106A2A">
      <w:pPr>
        <w:widowControl/>
        <w:spacing w:before="120" w:after="120" w:line="360" w:lineRule="auto"/>
        <w:ind w:left="1560" w:hanging="709"/>
        <w:rPr>
          <w:rFonts w:eastAsia="Calibri"/>
          <w:b/>
          <w:i/>
          <w:szCs w:val="22"/>
          <w:lang w:eastAsia="en-US"/>
        </w:rPr>
      </w:pPr>
      <w:r w:rsidRPr="00106A2A">
        <w:rPr>
          <w:rFonts w:eastAsia="Calibri"/>
          <w:szCs w:val="22"/>
          <w:lang w:eastAsia="en-US"/>
        </w:rPr>
        <w:t xml:space="preserve">д) </w:t>
      </w:r>
      <w:r w:rsidRPr="00106A2A">
        <w:rPr>
          <w:rFonts w:eastAsia="Calibri"/>
          <w:szCs w:val="22"/>
          <w:lang w:eastAsia="en-US"/>
        </w:rPr>
        <w:tab/>
        <w:t>актуализирания интегриран национален план на държавата членка в областта на енергетиката и климата съгласно Регламент (ЕС) 2018/1999</w:t>
      </w:r>
      <w:r w:rsidRPr="00106A2A">
        <w:rPr>
          <w:rFonts w:eastAsia="Calibri"/>
          <w:b/>
          <w:i/>
          <w:szCs w:val="22"/>
          <w:lang w:eastAsia="en-US"/>
        </w:rPr>
        <w:t>; и</w:t>
      </w:r>
    </w:p>
    <w:p w:rsidR="00106A2A" w:rsidRPr="00106A2A" w:rsidRDefault="00106A2A" w:rsidP="00106A2A">
      <w:pPr>
        <w:widowControl/>
        <w:spacing w:before="120" w:after="120" w:line="360" w:lineRule="auto"/>
        <w:ind w:left="1560" w:hanging="709"/>
        <w:rPr>
          <w:rFonts w:eastAsia="Calibri"/>
          <w:szCs w:val="22"/>
          <w:lang w:eastAsia="en-US"/>
        </w:rPr>
      </w:pPr>
      <w:r w:rsidRPr="00106A2A">
        <w:rPr>
          <w:rFonts w:eastAsia="Calibri"/>
          <w:b/>
          <w:i/>
          <w:szCs w:val="22"/>
          <w:lang w:eastAsia="en-US"/>
        </w:rPr>
        <w:t>е)</w:t>
      </w:r>
      <w:r w:rsidRPr="00106A2A">
        <w:rPr>
          <w:rFonts w:eastAsia="Calibri"/>
          <w:b/>
          <w:i/>
          <w:szCs w:val="22"/>
          <w:lang w:eastAsia="en-US"/>
        </w:rPr>
        <w:tab/>
        <w:t>териториалните</w:t>
      </w:r>
      <w:r w:rsidRPr="00106A2A">
        <w:rPr>
          <w:rFonts w:eastAsia="Calibri"/>
          <w:szCs w:val="22"/>
          <w:lang w:eastAsia="en-US"/>
        </w:rPr>
        <w:t xml:space="preserve"> планове на държавата членка за справедлив преход съгласно Регламент (ЕС) 2021/1056.</w:t>
      </w:r>
    </w:p>
    <w:p w:rsidR="00106A2A" w:rsidRPr="00106A2A" w:rsidRDefault="00106A2A" w:rsidP="00106A2A">
      <w:pPr>
        <w:widowControl/>
        <w:spacing w:before="120" w:after="120" w:line="360" w:lineRule="auto"/>
        <w:ind w:left="851" w:hanging="851"/>
        <w:jc w:val="both"/>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4.</w:t>
      </w:r>
      <w:r w:rsidRPr="00106A2A">
        <w:rPr>
          <w:rFonts w:eastAsia="Calibri"/>
          <w:szCs w:val="22"/>
          <w:lang w:eastAsia="en-US"/>
        </w:rPr>
        <w:tab/>
      </w:r>
      <w:r w:rsidRPr="00106A2A">
        <w:rPr>
          <w:rFonts w:eastAsia="Calibri"/>
          <w:b/>
          <w:i/>
          <w:szCs w:val="22"/>
          <w:lang w:eastAsia="en-US"/>
        </w:rPr>
        <w:t>По време на изготвянето на плановете</w:t>
      </w:r>
      <w:r w:rsidRPr="00106A2A">
        <w:rPr>
          <w:rFonts w:eastAsia="Calibri"/>
          <w:szCs w:val="22"/>
          <w:lang w:eastAsia="en-US"/>
        </w:rPr>
        <w:t xml:space="preserve"> Комисията организира обмен на добри практики</w:t>
      </w:r>
      <w:r w:rsidRPr="00106A2A">
        <w:rPr>
          <w:rFonts w:eastAsia="Calibri"/>
          <w:b/>
          <w:i/>
          <w:szCs w:val="22"/>
          <w:lang w:eastAsia="en-US"/>
        </w:rPr>
        <w:t>, включително относно мерките и инвестициите с цел разходна ефективност, които да бъдат включени в плановете</w:t>
      </w:r>
      <w:r w:rsidRPr="00106A2A">
        <w:rPr>
          <w:rFonts w:eastAsia="Calibri"/>
          <w:szCs w:val="22"/>
          <w:lang w:eastAsia="en-US"/>
        </w:rPr>
        <w:t>. Държавите членки могат да поискат ▌ техническа подкрепа по линия на Европейската програма за подпомагане в областта на енергетиката на местно равнище (ELENA), създадена през 2009 г. със споразумение между Комисията и Европейската инвестиционна банка, или на Инструмента за техническа подкрепа, създаден с Регламент (ЕС) 2021/240 на Европейския парламент и на Съвета</w:t>
      </w:r>
      <w:r w:rsidRPr="00106A2A">
        <w:rPr>
          <w:rFonts w:eastAsia="Calibri"/>
          <w:b/>
          <w:szCs w:val="22"/>
          <w:vertAlign w:val="superscript"/>
          <w:lang w:eastAsia="en-US"/>
        </w:rPr>
        <w:footnoteReference w:id="30"/>
      </w:r>
      <w:r w:rsidRPr="00106A2A">
        <w:rPr>
          <w:rFonts w:eastAsia="Calibri"/>
          <w:szCs w:val="22"/>
          <w:lang w:eastAsia="en-US"/>
        </w:rPr>
        <w:t>.</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5.</w:t>
      </w:r>
      <w:r w:rsidRPr="00106A2A">
        <w:rPr>
          <w:rFonts w:eastAsia="Calibri"/>
          <w:szCs w:val="22"/>
          <w:lang w:eastAsia="en-US"/>
        </w:rPr>
        <w:tab/>
        <w:t>За целите на параграф 1, буква л) от настоящия член Комисията предоставя на държавите членки технически насоки, съобразени с приложното поле на Фонда, относно съответствието на мерките и инвестициите с принципа за ненанасяне на значителни вреди по смисъла на член 17 от Регламент (ЕС) 2020/852.</w:t>
      </w:r>
    </w:p>
    <w:p w:rsidR="00106A2A" w:rsidRPr="00106A2A" w:rsidRDefault="00106A2A" w:rsidP="00106A2A">
      <w:pPr>
        <w:widowControl/>
        <w:spacing w:before="120" w:after="120" w:line="360" w:lineRule="auto"/>
        <w:rPr>
          <w:rFonts w:eastAsia="Calibri"/>
          <w:b/>
          <w: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851" w:hanging="851"/>
        <w:rPr>
          <w:rFonts w:eastAsia="Calibri"/>
          <w:b/>
          <w:i/>
          <w:szCs w:val="22"/>
          <w:lang w:eastAsia="en-US"/>
        </w:rPr>
      </w:pPr>
      <w:r w:rsidRPr="00106A2A">
        <w:rPr>
          <w:rFonts w:eastAsia="Calibri"/>
          <w:b/>
          <w:i/>
          <w:szCs w:val="22"/>
          <w:lang w:eastAsia="en-US"/>
        </w:rPr>
        <w:t>6.</w:t>
      </w:r>
      <w:r w:rsidRPr="00106A2A">
        <w:rPr>
          <w:rFonts w:eastAsia="Calibri"/>
          <w:szCs w:val="22"/>
          <w:lang w:eastAsia="en-US"/>
        </w:rPr>
        <w:tab/>
      </w:r>
      <w:r w:rsidRPr="00106A2A">
        <w:rPr>
          <w:rFonts w:eastAsia="Calibri"/>
          <w:b/>
          <w:i/>
          <w:szCs w:val="22"/>
          <w:lang w:eastAsia="en-US"/>
        </w:rPr>
        <w:t>За да подпомогне държавите членки при предоставянето на информацията, посочена в параграф 1, буква г) от настоящия член, Комисията представя обща стойност, която да се взема предвид като прогноза за цената на въглеродните емисии вследствие на включването на емисиите на парникови газове от сградите, от автомобилния транспорт и от допълнителни сектори в приложното поле на Директива 2003/87/ЕО.</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b/>
          <w:i/>
          <w:szCs w:val="22"/>
          <w:lang w:eastAsia="en-US"/>
        </w:rPr>
        <w:t>7.</w:t>
      </w:r>
      <w:r w:rsidRPr="00106A2A">
        <w:rPr>
          <w:rFonts w:eastAsia="Calibri"/>
          <w:szCs w:val="22"/>
          <w:lang w:eastAsia="en-US"/>
        </w:rPr>
        <w:tab/>
        <w:t xml:space="preserve">Всяка държава членка използва </w:t>
      </w:r>
      <w:r w:rsidRPr="00106A2A">
        <w:rPr>
          <w:rFonts w:eastAsia="Calibri"/>
          <w:b/>
          <w:i/>
          <w:szCs w:val="22"/>
          <w:lang w:eastAsia="en-US"/>
        </w:rPr>
        <w:t>образеца за плана, съдържащ се в приложение V.</w:t>
      </w:r>
    </w:p>
    <w:p w:rsidR="00106A2A" w:rsidRPr="00106A2A" w:rsidRDefault="00106A2A" w:rsidP="00106A2A">
      <w:pPr>
        <w:widowControl/>
        <w:spacing w:before="360" w:after="120" w:line="360" w:lineRule="auto"/>
        <w:jc w:val="center"/>
        <w:rPr>
          <w:rFonts w:eastAsia="Calibri"/>
          <w:sz w:val="28"/>
          <w:szCs w:val="22"/>
          <w:lang w:eastAsia="en-US"/>
        </w:rPr>
      </w:pPr>
      <w:r w:rsidRPr="00106A2A">
        <w:rPr>
          <w:rFonts w:eastAsia="Calibri"/>
          <w:sz w:val="28"/>
          <w:szCs w:val="22"/>
          <w:lang w:eastAsia="en-US"/>
        </w:rPr>
        <w:t>ГЛАВА III</w:t>
      </w:r>
      <w:r w:rsidRPr="00106A2A">
        <w:rPr>
          <w:rFonts w:eastAsia="Calibri"/>
          <w:sz w:val="28"/>
          <w:szCs w:val="22"/>
          <w:lang w:eastAsia="en-US"/>
        </w:rPr>
        <w:br/>
        <w:t>ПОДКРЕПА ОТ ФОНДА ЗА СОЦИАЛНИТЕ ПЛАНОВЕ ЗА КЛИМАТА</w:t>
      </w:r>
    </w:p>
    <w:p w:rsidR="00106A2A" w:rsidRPr="00106A2A" w:rsidRDefault="00106A2A" w:rsidP="00106A2A">
      <w:pPr>
        <w:keepNext/>
        <w:widowControl/>
        <w:spacing w:before="360" w:after="120" w:line="360" w:lineRule="auto"/>
        <w:jc w:val="center"/>
        <w:rPr>
          <w:rFonts w:eastAsia="Calibri"/>
          <w:szCs w:val="22"/>
          <w:lang w:eastAsia="en-US"/>
        </w:rPr>
      </w:pPr>
      <w:r w:rsidRPr="00106A2A">
        <w:rPr>
          <w:rFonts w:eastAsia="Calibri"/>
          <w:szCs w:val="22"/>
          <w:lang w:eastAsia="en-US"/>
        </w:rPr>
        <w:t>Член 7</w:t>
      </w:r>
      <w:r w:rsidRPr="00106A2A">
        <w:rPr>
          <w:rFonts w:eastAsia="Calibri"/>
          <w:szCs w:val="22"/>
          <w:lang w:eastAsia="en-US"/>
        </w:rPr>
        <w:br/>
        <w:t>Ръководни принципи за Фонда ▌</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1.</w:t>
      </w:r>
      <w:r w:rsidRPr="00106A2A">
        <w:rPr>
          <w:rFonts w:eastAsia="Calibri"/>
          <w:szCs w:val="22"/>
          <w:lang w:eastAsia="en-US"/>
        </w:rPr>
        <w:tab/>
        <w:t>Фондът осигурява на държавите членки финансова подкрепа за финансиране на мерките и инвестициите, предвидени в техните планове.</w:t>
      </w:r>
    </w:p>
    <w:p w:rsidR="00106A2A" w:rsidRPr="00106A2A" w:rsidRDefault="00106A2A" w:rsidP="00106A2A">
      <w:pPr>
        <w:widowControl/>
        <w:spacing w:before="120" w:after="120" w:line="312" w:lineRule="auto"/>
        <w:ind w:left="851" w:hanging="851"/>
        <w:jc w:val="both"/>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2.</w:t>
      </w:r>
      <w:r w:rsidRPr="00106A2A">
        <w:rPr>
          <w:rFonts w:eastAsia="Calibri"/>
          <w:szCs w:val="22"/>
          <w:lang w:eastAsia="en-US"/>
        </w:rPr>
        <w:tab/>
        <w:t xml:space="preserve">Изплащането на финансова подкрепа съгласно параграф 1 от настоящия член на всяка държава членка зависи от постигането от тази държава членка на междинните цели и целевите стойности за мерките и инвестициите </w:t>
      </w:r>
      <w:r w:rsidRPr="00106A2A">
        <w:rPr>
          <w:rFonts w:eastAsia="Calibri"/>
          <w:b/>
          <w:i/>
          <w:szCs w:val="22"/>
          <w:lang w:eastAsia="en-US"/>
        </w:rPr>
        <w:t>в съответствие с член 8 от настоящия регламент</w:t>
      </w:r>
      <w:r w:rsidRPr="00106A2A">
        <w:rPr>
          <w:rFonts w:eastAsia="Calibri"/>
          <w:szCs w:val="22"/>
          <w:lang w:eastAsia="en-US"/>
        </w:rPr>
        <w:t xml:space="preserve">. Междинните цели и целевите стойности трябва да са съвместими с целите на Съюза в областта на климата и </w:t>
      </w:r>
      <w:r w:rsidRPr="00106A2A">
        <w:rPr>
          <w:rFonts w:eastAsia="Calibri"/>
          <w:b/>
          <w:i/>
          <w:szCs w:val="22"/>
          <w:lang w:eastAsia="en-US"/>
        </w:rPr>
        <w:t>с целта, определена в Регламент (ЕС) 2021/1119, и</w:t>
      </w:r>
      <w:r w:rsidRPr="00106A2A">
        <w:rPr>
          <w:rFonts w:eastAsia="Calibri"/>
          <w:szCs w:val="22"/>
          <w:lang w:eastAsia="en-US"/>
        </w:rPr>
        <w:t xml:space="preserve"> да обхващат по-специално:</w:t>
      </w:r>
    </w:p>
    <w:p w:rsidR="00106A2A" w:rsidRPr="00106A2A" w:rsidRDefault="00106A2A" w:rsidP="00106A2A">
      <w:pPr>
        <w:widowControl/>
        <w:spacing w:before="120" w:after="120" w:line="360" w:lineRule="auto"/>
        <w:ind w:left="1418" w:hanging="567"/>
        <w:jc w:val="both"/>
        <w:rPr>
          <w:rFonts w:eastAsia="Calibri"/>
          <w:szCs w:val="22"/>
          <w:lang w:eastAsia="en-US"/>
        </w:rPr>
      </w:pPr>
      <w:r w:rsidRPr="00106A2A">
        <w:rPr>
          <w:rFonts w:eastAsia="Calibri"/>
          <w:szCs w:val="22"/>
          <w:lang w:eastAsia="en-US"/>
        </w:rPr>
        <w:t>a)</w:t>
      </w:r>
      <w:r w:rsidRPr="00106A2A">
        <w:rPr>
          <w:rFonts w:eastAsia="Calibri"/>
          <w:szCs w:val="22"/>
          <w:lang w:eastAsia="en-US"/>
        </w:rPr>
        <w:tab/>
        <w:t>енергийната ефективност;</w:t>
      </w:r>
    </w:p>
    <w:p w:rsidR="00106A2A" w:rsidRPr="00106A2A" w:rsidRDefault="00106A2A" w:rsidP="00106A2A">
      <w:pPr>
        <w:widowControl/>
        <w:spacing w:before="120" w:after="120" w:line="360" w:lineRule="auto"/>
        <w:ind w:left="1418" w:hanging="567"/>
        <w:jc w:val="both"/>
        <w:rPr>
          <w:rFonts w:eastAsia="Calibri"/>
          <w:szCs w:val="22"/>
          <w:lang w:eastAsia="en-US"/>
        </w:rPr>
      </w:pPr>
      <w:r w:rsidRPr="00106A2A">
        <w:rPr>
          <w:rFonts w:eastAsia="Calibri"/>
          <w:szCs w:val="22"/>
          <w:lang w:eastAsia="en-US"/>
        </w:rPr>
        <w:t>б)</w:t>
      </w:r>
      <w:r w:rsidRPr="00106A2A">
        <w:rPr>
          <w:rFonts w:eastAsia="Calibri"/>
          <w:szCs w:val="22"/>
          <w:lang w:eastAsia="en-US"/>
        </w:rPr>
        <w:tab/>
        <w:t>санирането на сгради;</w:t>
      </w:r>
    </w:p>
    <w:p w:rsidR="00106A2A" w:rsidRPr="00106A2A" w:rsidRDefault="00106A2A" w:rsidP="00106A2A">
      <w:pPr>
        <w:widowControl/>
        <w:spacing w:before="120" w:after="120" w:line="360" w:lineRule="auto"/>
        <w:ind w:left="1418" w:hanging="567"/>
        <w:jc w:val="both"/>
        <w:rPr>
          <w:rFonts w:eastAsia="Calibri"/>
          <w:szCs w:val="22"/>
          <w:lang w:eastAsia="en-US"/>
        </w:rPr>
      </w:pPr>
      <w:r w:rsidRPr="00106A2A">
        <w:rPr>
          <w:rFonts w:eastAsia="Calibri"/>
          <w:szCs w:val="22"/>
          <w:lang w:eastAsia="en-US"/>
        </w:rPr>
        <w:t>в)</w:t>
      </w:r>
      <w:r w:rsidRPr="00106A2A">
        <w:rPr>
          <w:rFonts w:eastAsia="Calibri"/>
          <w:szCs w:val="22"/>
          <w:lang w:eastAsia="en-US"/>
        </w:rPr>
        <w:tab/>
        <w:t>мобилността и транспорта с нулеви и с ниски емисии;</w:t>
      </w:r>
    </w:p>
    <w:p w:rsidR="00106A2A" w:rsidRPr="00106A2A" w:rsidRDefault="00106A2A" w:rsidP="00106A2A">
      <w:pPr>
        <w:widowControl/>
        <w:spacing w:before="120" w:after="120" w:line="360" w:lineRule="auto"/>
        <w:ind w:left="1418" w:hanging="567"/>
        <w:jc w:val="both"/>
        <w:rPr>
          <w:rFonts w:eastAsia="Calibri"/>
          <w:szCs w:val="22"/>
          <w:lang w:eastAsia="en-US"/>
        </w:rPr>
      </w:pPr>
      <w:r w:rsidRPr="00106A2A">
        <w:rPr>
          <w:rFonts w:eastAsia="Calibri"/>
          <w:szCs w:val="22"/>
          <w:lang w:eastAsia="en-US"/>
        </w:rPr>
        <w:t>г)</w:t>
      </w:r>
      <w:r w:rsidRPr="00106A2A">
        <w:rPr>
          <w:rFonts w:eastAsia="Calibri"/>
          <w:szCs w:val="22"/>
          <w:lang w:eastAsia="en-US"/>
        </w:rPr>
        <w:tab/>
        <w:t>намаляването на емисиите на парникови газове;</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t>д)</w:t>
      </w:r>
      <w:r w:rsidRPr="00106A2A">
        <w:rPr>
          <w:rFonts w:eastAsia="Calibri"/>
          <w:szCs w:val="22"/>
          <w:lang w:eastAsia="en-US"/>
        </w:rPr>
        <w:tab/>
        <w:t>намаляването на броя на уязвимите домакинства, по-специално домакинствата в енергийна бедност, на уязвимите микропредприятия и на уязвимите ползватели на транспорт ▌.</w:t>
      </w:r>
    </w:p>
    <w:p w:rsidR="00106A2A" w:rsidRPr="00106A2A" w:rsidRDefault="00106A2A" w:rsidP="00106A2A">
      <w:pPr>
        <w:widowControl/>
        <w:spacing w:before="120" w:after="120" w:line="360" w:lineRule="auto"/>
        <w:ind w:left="851" w:hanging="851"/>
        <w:jc w:val="both"/>
        <w:rPr>
          <w:rFonts w:eastAsia="Calibri"/>
          <w:szCs w:val="22"/>
          <w:lang w:eastAsia="en-US"/>
        </w:rPr>
      </w:pPr>
      <w:r w:rsidRPr="00106A2A">
        <w:rPr>
          <w:rFonts w:eastAsia="Calibri"/>
          <w:szCs w:val="22"/>
          <w:lang w:eastAsia="en-US"/>
        </w:rPr>
        <w:t>3.</w:t>
      </w:r>
      <w:r w:rsidRPr="00106A2A">
        <w:rPr>
          <w:rFonts w:eastAsia="Calibri"/>
          <w:szCs w:val="22"/>
          <w:lang w:eastAsia="en-US"/>
        </w:rPr>
        <w:tab/>
        <w:t>Фондът подкрепя само мерки и инвестиции, които са в съответствие с принципа за ненанасяне на значителни вреди по смисъла на член 17 от Регламент (ЕС) 2020/852.</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851" w:hanging="851"/>
        <w:rPr>
          <w:rFonts w:eastAsia="Calibri"/>
          <w:b/>
          <w:i/>
          <w:szCs w:val="22"/>
          <w:lang w:eastAsia="en-US"/>
        </w:rPr>
      </w:pPr>
      <w:r w:rsidRPr="00106A2A">
        <w:rPr>
          <w:rFonts w:eastAsia="Calibri"/>
          <w:b/>
          <w:i/>
          <w:szCs w:val="22"/>
          <w:lang w:eastAsia="en-US"/>
        </w:rPr>
        <w:t>4.</w:t>
      </w:r>
      <w:r w:rsidRPr="00106A2A">
        <w:rPr>
          <w:rFonts w:eastAsia="Calibri"/>
          <w:b/>
          <w:i/>
          <w:szCs w:val="22"/>
          <w:lang w:eastAsia="en-US"/>
        </w:rPr>
        <w:tab/>
        <w:t>Мерките и инвестициите, подкрепяни от Фонда, трябва да намаляват зависимостта от изкопаеми горива и когато е целесъобразно, да допринасят за изпълнението на Европейския стълб на социалните права, както и за устойчивите и качествени работни места в областите, обхванати от мерките и инвестициите по линия на Фонда.</w:t>
      </w:r>
    </w:p>
    <w:p w:rsidR="00106A2A" w:rsidRPr="00106A2A" w:rsidRDefault="00106A2A" w:rsidP="00106A2A">
      <w:pPr>
        <w:keepNext/>
        <w:widowControl/>
        <w:spacing w:before="360" w:after="120" w:line="312" w:lineRule="auto"/>
        <w:jc w:val="center"/>
        <w:rPr>
          <w:rFonts w:eastAsia="Calibri"/>
          <w:szCs w:val="22"/>
          <w:lang w:eastAsia="en-US"/>
        </w:rPr>
      </w:pPr>
      <w:r w:rsidRPr="00106A2A">
        <w:rPr>
          <w:rFonts w:eastAsia="Calibri"/>
          <w:szCs w:val="22"/>
          <w:lang w:eastAsia="en-US"/>
        </w:rPr>
        <w:t>Член 8</w:t>
      </w:r>
      <w:r w:rsidRPr="00106A2A">
        <w:rPr>
          <w:rFonts w:eastAsia="Calibri"/>
          <w:szCs w:val="22"/>
          <w:lang w:eastAsia="en-US"/>
        </w:rPr>
        <w:br/>
        <w:t xml:space="preserve">Мерки и инвестиции, </w:t>
      </w:r>
      <w:r w:rsidRPr="00106A2A">
        <w:rPr>
          <w:rFonts w:eastAsia="Calibri"/>
          <w:i/>
          <w:szCs w:val="22"/>
          <w:lang w:eastAsia="en-US"/>
        </w:rPr>
        <w:t xml:space="preserve">допустими </w:t>
      </w:r>
      <w:r w:rsidRPr="00106A2A">
        <w:rPr>
          <w:rFonts w:eastAsia="Calibri"/>
          <w:szCs w:val="22"/>
          <w:lang w:eastAsia="en-US"/>
        </w:rPr>
        <w:t>за включване в ▌социалните планове за климата</w:t>
      </w:r>
    </w:p>
    <w:p w:rsidR="00106A2A" w:rsidRPr="00106A2A" w:rsidRDefault="00106A2A" w:rsidP="00106A2A">
      <w:pPr>
        <w:widowControl/>
        <w:spacing w:before="120" w:after="120" w:line="312" w:lineRule="auto"/>
        <w:ind w:left="851" w:hanging="851"/>
        <w:rPr>
          <w:rFonts w:eastAsia="Calibri"/>
          <w:lang w:eastAsia="en-US"/>
        </w:rPr>
      </w:pPr>
      <w:r w:rsidRPr="00106A2A">
        <w:rPr>
          <w:rFonts w:eastAsia="Calibri"/>
          <w:lang w:eastAsia="en-US"/>
        </w:rPr>
        <w:t>1.</w:t>
      </w:r>
      <w:r w:rsidRPr="00106A2A">
        <w:rPr>
          <w:rFonts w:eastAsia="Calibri"/>
          <w:lang w:eastAsia="en-US"/>
        </w:rPr>
        <w:tab/>
        <w:t xml:space="preserve">Държавата членка може да включи </w:t>
      </w:r>
      <w:r w:rsidRPr="00106A2A">
        <w:rPr>
          <w:rFonts w:eastAsia="Calibri"/>
          <w:b/>
          <w:i/>
          <w:lang w:eastAsia="en-US"/>
        </w:rPr>
        <w:t>в прогнозните общи разходи за плана следните мерки и инвестиции с трайно въздействие, при условие че те са насочени към уязвимите домакинства, уязвимите микропредприятия или уязвимите ползватели на транспорт и са предназначени да:</w:t>
      </w:r>
    </w:p>
    <w:p w:rsidR="00106A2A" w:rsidRPr="00106A2A" w:rsidRDefault="00106A2A" w:rsidP="00106A2A">
      <w:pPr>
        <w:widowControl/>
        <w:spacing w:before="120" w:after="120" w:line="312" w:lineRule="auto"/>
        <w:jc w:val="both"/>
        <w:rPr>
          <w:rFonts w:eastAsia="Calibri"/>
          <w:szCs w:val="22"/>
          <w:lang w:eastAsia="en-US"/>
        </w:rPr>
      </w:pPr>
      <w:r w:rsidRPr="00106A2A">
        <w:rPr>
          <w:rFonts w:eastAsia="Calibri"/>
          <w:szCs w:val="22"/>
          <w:lang w:eastAsia="en-US"/>
        </w:rPr>
        <w:t>▌</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t>a)</w:t>
      </w:r>
      <w:r w:rsidRPr="00106A2A">
        <w:rPr>
          <w:rFonts w:eastAsia="Calibri"/>
          <w:szCs w:val="22"/>
          <w:lang w:eastAsia="en-US"/>
        </w:rPr>
        <w:tab/>
        <w:t xml:space="preserve">подкрепят санирането на сгради, по-специално за уязвимите домакинства и уязвимите микропредприятия, които заемат сградите с най-лоши характеристики, </w:t>
      </w:r>
      <w:r w:rsidRPr="00106A2A">
        <w:rPr>
          <w:rFonts w:eastAsia="Calibri"/>
          <w:b/>
          <w:i/>
          <w:szCs w:val="22"/>
          <w:lang w:eastAsia="en-US"/>
        </w:rPr>
        <w:t>включително за наемателите и хората, живеещи в социални жилища;</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b/>
          <w:i/>
          <w:szCs w:val="22"/>
          <w:lang w:eastAsia="en-US"/>
        </w:rPr>
        <w:t>б)</w:t>
      </w:r>
      <w:r w:rsidRPr="00106A2A">
        <w:rPr>
          <w:rFonts w:eastAsia="Calibri"/>
          <w:szCs w:val="22"/>
          <w:lang w:eastAsia="en-US"/>
        </w:rPr>
        <w:tab/>
      </w:r>
      <w:r w:rsidRPr="00106A2A">
        <w:rPr>
          <w:rFonts w:eastAsia="Calibri"/>
          <w:b/>
          <w:i/>
          <w:szCs w:val="22"/>
          <w:lang w:eastAsia="en-US"/>
        </w:rPr>
        <w:t>подкрепят достъпа до финансово достъпни енергийно ефективни жилища, включително социални жилища;</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t>в)</w:t>
      </w:r>
      <w:r w:rsidRPr="00106A2A">
        <w:rPr>
          <w:rFonts w:eastAsia="Calibri"/>
          <w:szCs w:val="22"/>
          <w:lang w:eastAsia="en-US"/>
        </w:rPr>
        <w:tab/>
        <w:t xml:space="preserve">допринасят за декарбонизацията, например чрез електрификация, на отоплението и охлаждането в сградите и приготвянето на храна в тях </w:t>
      </w:r>
      <w:r w:rsidRPr="00106A2A">
        <w:rPr>
          <w:rFonts w:eastAsia="Calibri"/>
          <w:b/>
          <w:i/>
          <w:szCs w:val="22"/>
          <w:lang w:eastAsia="en-US"/>
        </w:rPr>
        <w:t>чрез предоставяне на достъп до финансово достъпни и енергийно ефективни системи</w:t>
      </w:r>
      <w:r w:rsidRPr="00106A2A">
        <w:rPr>
          <w:rFonts w:eastAsia="Calibri"/>
          <w:szCs w:val="22"/>
          <w:lang w:eastAsia="en-US"/>
        </w:rPr>
        <w:t xml:space="preserve"> и чрез интегриране на инсталации за производство </w:t>
      </w:r>
      <w:r w:rsidRPr="00106A2A">
        <w:rPr>
          <w:rFonts w:eastAsia="Calibri"/>
          <w:b/>
          <w:i/>
          <w:szCs w:val="22"/>
          <w:lang w:eastAsia="en-US"/>
        </w:rPr>
        <w:t>и съхранение</w:t>
      </w:r>
      <w:r w:rsidRPr="00106A2A">
        <w:rPr>
          <w:rFonts w:eastAsia="Calibri"/>
          <w:szCs w:val="22"/>
          <w:lang w:eastAsia="en-US"/>
        </w:rPr>
        <w:t xml:space="preserve"> на енергия от възобновяеми източници, </w:t>
      </w:r>
      <w:r w:rsidRPr="00106A2A">
        <w:rPr>
          <w:rFonts w:eastAsia="Calibri"/>
          <w:b/>
          <w:i/>
          <w:szCs w:val="22"/>
          <w:lang w:eastAsia="en-US"/>
        </w:rPr>
        <w:t>включително чрез общности за възобновяема енергия, граждански енергийни общности и други активни клиенти, за да се насърчи по-широкото собствено потребление на енергия от възобновяеми източници, като например споделяне на енергия и търговия между партньори на възобновяема енергия, свързване към интелигентни мрежи и към мрежи за централно отопление</w:t>
      </w:r>
      <w:r w:rsidRPr="00106A2A">
        <w:rPr>
          <w:rFonts w:eastAsia="Calibri"/>
          <w:szCs w:val="22"/>
          <w:lang w:eastAsia="en-US"/>
        </w:rPr>
        <w:t xml:space="preserve">, което допринася за спестяването на енергия </w:t>
      </w:r>
      <w:r w:rsidRPr="00106A2A">
        <w:rPr>
          <w:rFonts w:eastAsia="Calibri"/>
          <w:b/>
          <w:i/>
          <w:szCs w:val="22"/>
          <w:lang w:eastAsia="en-US"/>
        </w:rPr>
        <w:t>или за намаляване на енергийната бедност</w:t>
      </w:r>
      <w:r w:rsidRPr="00106A2A">
        <w:rPr>
          <w:rFonts w:eastAsia="Calibri"/>
          <w:szCs w:val="22"/>
          <w:lang w:eastAsia="en-US"/>
        </w:rPr>
        <w:t>;</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b/>
          <w:i/>
          <w:szCs w:val="22"/>
          <w:lang w:eastAsia="en-US"/>
        </w:rPr>
        <w:t>г)</w:t>
      </w:r>
      <w:r w:rsidRPr="00106A2A">
        <w:rPr>
          <w:rFonts w:eastAsia="Calibri"/>
          <w:szCs w:val="22"/>
          <w:lang w:eastAsia="en-US"/>
        </w:rPr>
        <w:tab/>
      </w:r>
      <w:r w:rsidRPr="00106A2A">
        <w:rPr>
          <w:rFonts w:eastAsia="Calibri"/>
          <w:b/>
          <w:i/>
          <w:szCs w:val="22"/>
          <w:lang w:eastAsia="en-US"/>
        </w:rPr>
        <w:t>предоставят целенасочена, достъпна и финансово приемлива информация, образователни инициативи, осведоменост и съвети относно мерки и инвестиции с цел разходна ефективност, наличната подкрепа за саниране на сгради и енергийна ефективност, както и относно устойчиви и финансово достъпни алтернативи за мобилност и транспорт;</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t>д)</w:t>
      </w:r>
      <w:r w:rsidRPr="00106A2A">
        <w:rPr>
          <w:rFonts w:eastAsia="Calibri"/>
          <w:szCs w:val="22"/>
          <w:lang w:eastAsia="en-US"/>
        </w:rPr>
        <w:tab/>
        <w:t>подкрепят публични и частни субекти</w:t>
      </w:r>
      <w:r w:rsidRPr="00106A2A">
        <w:rPr>
          <w:rFonts w:eastAsia="Calibri"/>
          <w:b/>
          <w:i/>
          <w:szCs w:val="22"/>
          <w:lang w:eastAsia="en-US"/>
        </w:rPr>
        <w:t>, включително доставчици на социални жилища, по-специално публично-частни кооперации,</w:t>
      </w:r>
      <w:r w:rsidRPr="00106A2A">
        <w:rPr>
          <w:rFonts w:eastAsia="Calibri"/>
          <w:szCs w:val="22"/>
          <w:lang w:eastAsia="en-US"/>
        </w:rPr>
        <w:t xml:space="preserve"> при разработването и предоставянето на финансово достъпни решения за енергийна ефективност ▌ и подходящи инструменти за финансиране в съответствие със социалните цели на Фонда;</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t>е)</w:t>
      </w:r>
      <w:r w:rsidRPr="00106A2A">
        <w:rPr>
          <w:rFonts w:eastAsia="Calibri"/>
          <w:szCs w:val="22"/>
          <w:lang w:eastAsia="en-US"/>
        </w:rPr>
        <w:tab/>
        <w:t xml:space="preserve">осигуряват достъп до превозни средства с нулеви и ниски емисии и до велосипеди </w:t>
      </w:r>
      <w:r w:rsidRPr="00106A2A">
        <w:rPr>
          <w:rFonts w:eastAsia="Calibri"/>
          <w:b/>
          <w:i/>
          <w:szCs w:val="22"/>
          <w:lang w:eastAsia="en-US"/>
        </w:rPr>
        <w:t>при запазване на технологична неутралност</w:t>
      </w:r>
      <w:r w:rsidRPr="00106A2A">
        <w:rPr>
          <w:rFonts w:eastAsia="Calibri"/>
          <w:szCs w:val="22"/>
          <w:lang w:eastAsia="en-US"/>
        </w:rPr>
        <w:t xml:space="preserve">, включително финансова подкрепа или фискални стимули за закупуване на такива, както и за подходяща публична и частна инфраструктура, </w:t>
      </w:r>
      <w:r w:rsidRPr="00106A2A">
        <w:rPr>
          <w:rFonts w:eastAsia="Calibri"/>
          <w:b/>
          <w:i/>
          <w:szCs w:val="22"/>
          <w:lang w:eastAsia="en-US"/>
        </w:rPr>
        <w:t>по-специално по целесъобразност, закупуване на превозни средства с нулеви и ниски емисии, инфраструктура</w:t>
      </w:r>
      <w:r w:rsidRPr="00106A2A">
        <w:rPr>
          <w:rFonts w:eastAsia="Calibri"/>
          <w:szCs w:val="22"/>
          <w:lang w:eastAsia="en-US"/>
        </w:rPr>
        <w:t xml:space="preserve"> за зареждане с електроенергия и с гориво</w:t>
      </w:r>
      <w:r w:rsidRPr="00106A2A">
        <w:rPr>
          <w:rFonts w:eastAsia="Calibri"/>
          <w:b/>
          <w:i/>
          <w:szCs w:val="22"/>
          <w:lang w:eastAsia="en-US"/>
        </w:rPr>
        <w:t xml:space="preserve"> и развитие на пазар на употребявани превозни средства с нулеви емисии</w:t>
      </w:r>
      <w:r w:rsidRPr="00106A2A">
        <w:rPr>
          <w:rFonts w:eastAsia="Calibri"/>
          <w:szCs w:val="22"/>
          <w:lang w:eastAsia="en-US"/>
        </w:rPr>
        <w:t xml:space="preserve">; </w:t>
      </w:r>
      <w:r w:rsidRPr="00106A2A">
        <w:rPr>
          <w:rFonts w:eastAsia="Calibri"/>
          <w:b/>
          <w:i/>
          <w:szCs w:val="22"/>
          <w:lang w:eastAsia="en-US"/>
        </w:rPr>
        <w:t>държавите членки се стремят да гарантират, че когато</w:t>
      </w:r>
      <w:r w:rsidRPr="00106A2A">
        <w:rPr>
          <w:rFonts w:eastAsia="Calibri"/>
          <w:szCs w:val="22"/>
          <w:lang w:eastAsia="en-US"/>
        </w:rPr>
        <w:t xml:space="preserve"> превозните средства </w:t>
      </w:r>
      <w:r w:rsidRPr="00106A2A">
        <w:rPr>
          <w:rFonts w:eastAsia="Calibri"/>
          <w:b/>
          <w:i/>
          <w:szCs w:val="22"/>
          <w:lang w:eastAsia="en-US"/>
        </w:rPr>
        <w:t>с нулеви емисии са финансово достъпно и осъществимо решение, подкрепата за такива превозни средства се ползва с приоритет в техните планове;</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t>ж)</w:t>
      </w:r>
      <w:r w:rsidRPr="00106A2A">
        <w:rPr>
          <w:rFonts w:eastAsia="Calibri"/>
          <w:szCs w:val="22"/>
          <w:lang w:eastAsia="en-US"/>
        </w:rPr>
        <w:tab/>
      </w:r>
      <w:r w:rsidRPr="00106A2A">
        <w:rPr>
          <w:rFonts w:eastAsia="Calibri"/>
          <w:b/>
          <w:i/>
          <w:szCs w:val="22"/>
          <w:lang w:eastAsia="en-US"/>
        </w:rPr>
        <w:t>стимулират използването на финансово приемлив и достъпен обществен транспорт и подкрепят частни и</w:t>
      </w:r>
      <w:r w:rsidRPr="00106A2A">
        <w:rPr>
          <w:rFonts w:eastAsia="Calibri"/>
          <w:szCs w:val="22"/>
          <w:lang w:eastAsia="en-US"/>
        </w:rPr>
        <w:t xml:space="preserve"> публични </w:t>
      </w:r>
      <w:r w:rsidRPr="00106A2A">
        <w:rPr>
          <w:rFonts w:eastAsia="Calibri"/>
          <w:b/>
          <w:i/>
          <w:szCs w:val="22"/>
          <w:lang w:eastAsia="en-US"/>
        </w:rPr>
        <w:t xml:space="preserve">субекти, включително кооперации, при разработването и предоставянето на </w:t>
      </w:r>
      <w:r w:rsidRPr="00106A2A">
        <w:rPr>
          <w:rFonts w:eastAsia="Calibri"/>
          <w:szCs w:val="22"/>
          <w:lang w:eastAsia="en-US"/>
        </w:rPr>
        <w:t>устойчива мобилност по заявка</w:t>
      </w:r>
      <w:r w:rsidRPr="00106A2A">
        <w:rPr>
          <w:rFonts w:eastAsia="Calibri"/>
          <w:b/>
          <w:i/>
          <w:szCs w:val="22"/>
          <w:lang w:eastAsia="en-US"/>
        </w:rPr>
        <w:t>, услуги за споделена мобилност и възможности за активна</w:t>
      </w:r>
      <w:r w:rsidRPr="00106A2A">
        <w:rPr>
          <w:rFonts w:eastAsia="Calibri"/>
          <w:szCs w:val="22"/>
          <w:lang w:eastAsia="en-US"/>
        </w:rPr>
        <w:t xml:space="preserve"> мобилност;</w:t>
      </w:r>
    </w:p>
    <w:p w:rsidR="00106A2A" w:rsidRPr="00106A2A" w:rsidRDefault="00106A2A" w:rsidP="00106A2A">
      <w:pPr>
        <w:widowControl/>
        <w:spacing w:before="120" w:after="120" w:line="360" w:lineRule="auto"/>
        <w:ind w:left="1418" w:hanging="567"/>
        <w:jc w:val="both"/>
        <w:rPr>
          <w:rFonts w:eastAsia="Calibri"/>
          <w:szCs w:val="22"/>
          <w:lang w:eastAsia="en-US"/>
        </w:rPr>
      </w:pPr>
      <w:r w:rsidRPr="00106A2A">
        <w:rPr>
          <w:rFonts w:eastAsia="Calibri"/>
          <w:szCs w:val="22"/>
          <w:lang w:eastAsia="en-US"/>
        </w:rPr>
        <w:t>▌</w:t>
      </w:r>
    </w:p>
    <w:p w:rsidR="00106A2A" w:rsidRPr="00106A2A" w:rsidRDefault="00106A2A" w:rsidP="00106A2A">
      <w:pPr>
        <w:widowControl/>
        <w:spacing w:before="120" w:after="120" w:line="360" w:lineRule="auto"/>
        <w:ind w:left="851" w:hanging="851"/>
        <w:rPr>
          <w:rFonts w:eastAsia="Calibri"/>
          <w:b/>
          <w: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b/>
          <w:i/>
          <w:szCs w:val="22"/>
          <w:lang w:eastAsia="en-US"/>
        </w:rPr>
        <w:t>2.</w:t>
      </w:r>
      <w:r w:rsidRPr="00106A2A">
        <w:rPr>
          <w:rFonts w:eastAsia="Calibri"/>
          <w:szCs w:val="22"/>
          <w:lang w:eastAsia="en-US"/>
        </w:rPr>
        <w:tab/>
      </w:r>
      <w:r w:rsidRPr="00106A2A">
        <w:rPr>
          <w:rFonts w:eastAsia="Calibri"/>
          <w:b/>
          <w:i/>
          <w:szCs w:val="22"/>
          <w:lang w:eastAsia="en-US"/>
        </w:rPr>
        <w:t>В прогнозните общи разходи за плановете държавите членки могат да включат разходите за мерки за осигуряване на пряко подпомагане на доходите на уязвимите домакинства и уязвимите ползватели на транспорт, за да се намалят последиците от нарастването на цените на автомобилния транспорт и на горивата за отопление. Това подпомагане е временно и намалява с течение на времето. Държавите членки могат да предоставят временно пряко подпомагане на доходите, ако техните планове съдържат мерки или инвестиции, насочени към тези уязвими домакинства и уязвими ползватели на транспорт в съответствие с член 8, параграф 1 от настоящия регламент. Това подпомагане се ограничава до прякото въздействие от включването на емисиите на парникови газове от сградите и от автомобилния транспорт в приложното поле на Директива 2003/87/ЕО. Разходите за мерките, предвиждащи временно пряко подпомагане на доходите, не могат да надхвърлят 37,5 % от прогнозните общи разходи за плана, посочени в член 6, параграф 1, буква й) от настоящия регламент.</w:t>
      </w:r>
    </w:p>
    <w:p w:rsidR="00106A2A" w:rsidRPr="00106A2A" w:rsidRDefault="00106A2A" w:rsidP="00106A2A">
      <w:pPr>
        <w:widowControl/>
        <w:spacing w:before="120" w:after="120" w:line="360" w:lineRule="auto"/>
        <w:ind w:left="851" w:hanging="851"/>
        <w:rPr>
          <w:rFonts w:eastAsia="Calibri"/>
          <w:b/>
          <w:i/>
          <w:szCs w:val="22"/>
          <w:lang w:eastAsia="en-US"/>
        </w:rPr>
      </w:pPr>
      <w:r w:rsidRPr="00106A2A">
        <w:rPr>
          <w:rFonts w:eastAsia="Calibri"/>
          <w:b/>
          <w:i/>
          <w:szCs w:val="22"/>
          <w:lang w:eastAsia="en-US"/>
        </w:rPr>
        <w:t>3.</w:t>
      </w:r>
      <w:r w:rsidRPr="00106A2A">
        <w:rPr>
          <w:rFonts w:eastAsia="Calibri"/>
          <w:szCs w:val="22"/>
          <w:lang w:eastAsia="en-US"/>
        </w:rPr>
        <w:tab/>
      </w:r>
      <w:r w:rsidRPr="00106A2A">
        <w:rPr>
          <w:rFonts w:eastAsia="Calibri"/>
          <w:b/>
          <w:i/>
          <w:szCs w:val="22"/>
          <w:lang w:eastAsia="en-US"/>
        </w:rPr>
        <w:t>В прогнозните общи разходи за плановете държавите членки могат да включват разходите за техническа помощ с цел покриване на разходите, свързани с дейности по обучение, програмиране, мониторинг, контрол, одит и оценка, които са необходими за управлението на Фонда и постигането на неговите цели, например проучвания, разходи за информационни технологии (ИТ), обществени консултации със заинтересовани страни, информационни и комуникационни дейности. Разходите за такава техническа помощ не могат да надхвърлят 2,5 % от прогнозните общи разходи за плана, посочени в член 6, параграф 1, буква й).</w:t>
      </w:r>
    </w:p>
    <w:p w:rsidR="00106A2A" w:rsidRPr="00106A2A" w:rsidRDefault="00106A2A" w:rsidP="00106A2A">
      <w:pPr>
        <w:widowControl/>
        <w:spacing w:before="120" w:after="120" w:line="360" w:lineRule="auto"/>
        <w:ind w:left="851"/>
        <w:jc w:val="both"/>
        <w:rPr>
          <w:rFonts w:eastAsia="Calibri"/>
          <w:szCs w:val="22"/>
          <w:lang w:eastAsia="en-US"/>
        </w:rPr>
      </w:pP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jc w:val="center"/>
        <w:rPr>
          <w:rFonts w:eastAsia="Calibri"/>
          <w:szCs w:val="22"/>
          <w:lang w:eastAsia="en-US"/>
        </w:rPr>
      </w:pPr>
      <w:r w:rsidRPr="00106A2A">
        <w:rPr>
          <w:rFonts w:eastAsia="Calibri"/>
          <w:szCs w:val="22"/>
          <w:lang w:eastAsia="en-US"/>
        </w:rPr>
        <w:t>▌</w:t>
      </w:r>
    </w:p>
    <w:p w:rsidR="00106A2A" w:rsidRPr="00106A2A" w:rsidRDefault="00106A2A" w:rsidP="00106A2A">
      <w:pPr>
        <w:keepNext/>
        <w:widowControl/>
        <w:spacing w:before="360" w:after="120" w:line="360" w:lineRule="auto"/>
        <w:jc w:val="center"/>
        <w:rPr>
          <w:rFonts w:eastAsia="Calibri"/>
          <w:szCs w:val="22"/>
          <w:lang w:eastAsia="en-US"/>
        </w:rPr>
      </w:pPr>
      <w:r w:rsidRPr="00106A2A">
        <w:rPr>
          <w:rFonts w:eastAsia="Calibri"/>
          <w:szCs w:val="22"/>
          <w:lang w:eastAsia="en-US"/>
        </w:rPr>
        <w:t>Член 9</w:t>
      </w:r>
      <w:r w:rsidRPr="00106A2A">
        <w:rPr>
          <w:rFonts w:eastAsia="Calibri"/>
          <w:szCs w:val="22"/>
          <w:lang w:eastAsia="en-US"/>
        </w:rPr>
        <w:br/>
        <w:t>Прехвърляне на ползите към домакинствата, микропредприятията и ползвателите на транспорт</w:t>
      </w:r>
    </w:p>
    <w:p w:rsidR="00106A2A" w:rsidRPr="00106A2A" w:rsidRDefault="00106A2A" w:rsidP="00106A2A">
      <w:pPr>
        <w:widowControl/>
        <w:spacing w:before="480" w:after="120" w:line="360" w:lineRule="auto"/>
        <w:ind w:left="851" w:hanging="851"/>
        <w:rPr>
          <w:rFonts w:eastAsia="Calibri"/>
          <w:szCs w:val="22"/>
          <w:lang w:eastAsia="en-US"/>
        </w:rPr>
      </w:pPr>
      <w:r w:rsidRPr="00106A2A">
        <w:rPr>
          <w:rFonts w:eastAsia="Calibri"/>
          <w:szCs w:val="22"/>
          <w:lang w:eastAsia="en-US"/>
        </w:rPr>
        <w:t>1.</w:t>
      </w:r>
      <w:r w:rsidRPr="00106A2A">
        <w:rPr>
          <w:rFonts w:eastAsia="Calibri"/>
          <w:szCs w:val="22"/>
          <w:lang w:eastAsia="en-US"/>
        </w:rPr>
        <w:tab/>
        <w:t xml:space="preserve">Държавите членки могат да включат </w:t>
      </w:r>
      <w:r w:rsidRPr="00106A2A">
        <w:rPr>
          <w:rFonts w:eastAsia="Calibri"/>
          <w:b/>
          <w:i/>
          <w:szCs w:val="22"/>
          <w:lang w:eastAsia="en-US"/>
        </w:rPr>
        <w:t xml:space="preserve">в плановете </w:t>
      </w:r>
      <w:r w:rsidRPr="00106A2A">
        <w:rPr>
          <w:rFonts w:eastAsia="Calibri"/>
          <w:szCs w:val="22"/>
          <w:lang w:eastAsia="en-US"/>
        </w:rPr>
        <w:t xml:space="preserve">подкрепа, </w:t>
      </w:r>
      <w:r w:rsidRPr="00106A2A">
        <w:rPr>
          <w:rFonts w:eastAsia="Calibri"/>
          <w:b/>
          <w:i/>
          <w:szCs w:val="22"/>
          <w:lang w:eastAsia="en-US"/>
        </w:rPr>
        <w:t xml:space="preserve">предоставяна посредством </w:t>
      </w:r>
      <w:r w:rsidRPr="00106A2A">
        <w:rPr>
          <w:rFonts w:eastAsia="Calibri"/>
          <w:szCs w:val="22"/>
          <w:lang w:eastAsia="en-US"/>
        </w:rPr>
        <w:t xml:space="preserve">публични или частни субекти, които не са уязвими домакинства, уязвими микропредприятия и уязвими </w:t>
      </w:r>
      <w:r w:rsidRPr="00106A2A">
        <w:rPr>
          <w:rFonts w:eastAsia="Calibri"/>
          <w:b/>
          <w:i/>
          <w:szCs w:val="22"/>
          <w:lang w:eastAsia="en-US"/>
        </w:rPr>
        <w:t>ползватели</w:t>
      </w:r>
      <w:r w:rsidRPr="00106A2A">
        <w:rPr>
          <w:rFonts w:eastAsia="Calibri"/>
          <w:szCs w:val="22"/>
          <w:lang w:eastAsia="en-US"/>
        </w:rPr>
        <w:t xml:space="preserve"> на транспорт, ако тези субекти изпълняват мерки и инвестиции, от които в крайна сметка се ползват уязвими домакинства, уязвими микропредприятия или уязвими ползватели на транспорт.</w:t>
      </w:r>
    </w:p>
    <w:p w:rsidR="00106A2A" w:rsidRPr="00106A2A" w:rsidRDefault="00106A2A" w:rsidP="00106A2A">
      <w:pPr>
        <w:widowControl/>
        <w:spacing w:before="480" w:after="120" w:line="360" w:lineRule="auto"/>
        <w:ind w:left="851" w:hanging="851"/>
        <w:rPr>
          <w:rFonts w:eastAsia="Calibri"/>
          <w:szCs w:val="22"/>
          <w:lang w:eastAsia="en-US"/>
        </w:rPr>
      </w:pPr>
      <w:r w:rsidRPr="00106A2A">
        <w:rPr>
          <w:rFonts w:eastAsia="Calibri"/>
          <w:szCs w:val="22"/>
          <w:lang w:eastAsia="en-US"/>
        </w:rPr>
        <w:t>2.</w:t>
      </w:r>
      <w:r w:rsidRPr="00106A2A">
        <w:rPr>
          <w:rFonts w:eastAsia="Calibri"/>
          <w:szCs w:val="22"/>
          <w:lang w:eastAsia="en-US"/>
        </w:rPr>
        <w:tab/>
        <w:t xml:space="preserve">Държавите членки осигуряват необходимите законови и договорни гаранции, че всички ползи се прехвърлят към </w:t>
      </w:r>
      <w:r w:rsidRPr="00106A2A">
        <w:rPr>
          <w:rFonts w:eastAsia="Calibri"/>
          <w:b/>
          <w:i/>
          <w:szCs w:val="22"/>
          <w:lang w:eastAsia="en-US"/>
        </w:rPr>
        <w:t xml:space="preserve">уязвимите </w:t>
      </w:r>
      <w:r w:rsidRPr="00106A2A">
        <w:rPr>
          <w:rFonts w:eastAsia="Calibri"/>
          <w:szCs w:val="22"/>
          <w:lang w:eastAsia="en-US"/>
        </w:rPr>
        <w:t xml:space="preserve">домакинства, </w:t>
      </w:r>
      <w:r w:rsidRPr="00106A2A">
        <w:rPr>
          <w:rFonts w:eastAsia="Calibri"/>
          <w:b/>
          <w:i/>
          <w:szCs w:val="22"/>
          <w:lang w:eastAsia="en-US"/>
        </w:rPr>
        <w:t xml:space="preserve">уязвимите </w:t>
      </w:r>
      <w:r w:rsidRPr="00106A2A">
        <w:rPr>
          <w:rFonts w:eastAsia="Calibri"/>
          <w:szCs w:val="22"/>
          <w:lang w:eastAsia="en-US"/>
        </w:rPr>
        <w:t>микропредприятия или</w:t>
      </w:r>
      <w:r w:rsidRPr="00106A2A">
        <w:rPr>
          <w:rFonts w:eastAsia="Calibri"/>
          <w:b/>
          <w:i/>
          <w:szCs w:val="22"/>
          <w:lang w:eastAsia="en-US"/>
        </w:rPr>
        <w:t xml:space="preserve"> уязвимите</w:t>
      </w:r>
      <w:r w:rsidRPr="00106A2A">
        <w:rPr>
          <w:rFonts w:eastAsia="Calibri"/>
          <w:szCs w:val="22"/>
          <w:lang w:eastAsia="en-US"/>
        </w:rPr>
        <w:t xml:space="preserve"> ползватели на транспорт.</w:t>
      </w:r>
    </w:p>
    <w:p w:rsidR="00106A2A" w:rsidRPr="00106A2A" w:rsidRDefault="00106A2A" w:rsidP="00106A2A">
      <w:pPr>
        <w:keepNext/>
        <w:widowControl/>
        <w:spacing w:before="360" w:after="120" w:line="360" w:lineRule="auto"/>
        <w:jc w:val="center"/>
        <w:rPr>
          <w:rFonts w:eastAsia="Calibri"/>
          <w:szCs w:val="22"/>
          <w:lang w:eastAsia="en-US"/>
        </w:rPr>
      </w:pPr>
      <w:r w:rsidRPr="00106A2A">
        <w:rPr>
          <w:rFonts w:eastAsia="Calibri"/>
          <w:szCs w:val="22"/>
          <w:lang w:eastAsia="en-US"/>
        </w:rPr>
        <w:br w:type="page"/>
        <w:t>Член 10</w:t>
      </w:r>
      <w:r w:rsidRPr="00106A2A">
        <w:rPr>
          <w:rFonts w:eastAsia="Calibri"/>
          <w:szCs w:val="22"/>
          <w:lang w:eastAsia="en-US"/>
        </w:rPr>
        <w:br/>
      </w:r>
      <w:r w:rsidRPr="00106A2A">
        <w:rPr>
          <w:rFonts w:eastAsia="Calibri"/>
          <w:b/>
          <w:i/>
          <w:szCs w:val="22"/>
          <w:lang w:eastAsia="en-US"/>
        </w:rPr>
        <w:t>Ресурси на Фонда</w:t>
      </w:r>
    </w:p>
    <w:p w:rsidR="00106A2A" w:rsidRPr="00106A2A" w:rsidRDefault="00106A2A" w:rsidP="00106A2A">
      <w:pPr>
        <w:widowControl/>
        <w:spacing w:before="120" w:after="120" w:line="360" w:lineRule="auto"/>
        <w:ind w:left="851" w:hanging="851"/>
        <w:rPr>
          <w:rFonts w:eastAsia="Calibri"/>
          <w:b/>
          <w:i/>
          <w:szCs w:val="22"/>
          <w:lang w:eastAsia="en-US"/>
        </w:rPr>
      </w:pPr>
      <w:r w:rsidRPr="00106A2A">
        <w:rPr>
          <w:rFonts w:eastAsia="Calibri"/>
          <w:szCs w:val="22"/>
          <w:lang w:eastAsia="en-US"/>
        </w:rPr>
        <w:t>1.</w:t>
      </w:r>
      <w:r w:rsidRPr="00106A2A">
        <w:rPr>
          <w:rFonts w:eastAsia="Calibri"/>
          <w:szCs w:val="22"/>
          <w:lang w:eastAsia="en-US"/>
        </w:rPr>
        <w:tab/>
      </w:r>
      <w:r w:rsidRPr="00106A2A">
        <w:rPr>
          <w:rFonts w:eastAsia="Calibri"/>
          <w:b/>
          <w:i/>
          <w:szCs w:val="22"/>
          <w:lang w:eastAsia="en-US"/>
        </w:rPr>
        <w:t>В съответствие с член 10а, параграф 8б и член 30г, параграфи 3 и 4 от Директива 2003/87/ЕО</w:t>
      </w:r>
      <w:r w:rsidRPr="00106A2A">
        <w:rPr>
          <w:rFonts w:eastAsia="Calibri"/>
          <w:szCs w:val="22"/>
          <w:lang w:eastAsia="en-US"/>
        </w:rPr>
        <w:t xml:space="preserve"> за изпълнението на Фонда </w:t>
      </w:r>
      <w:r w:rsidRPr="00106A2A">
        <w:rPr>
          <w:rFonts w:eastAsia="Calibri"/>
          <w:b/>
          <w:i/>
          <w:szCs w:val="22"/>
          <w:lang w:eastAsia="en-US"/>
        </w:rPr>
        <w:t>се предоставя максимална сума от 65 000 000 000 EUR за периода от 1 януари 2026 г. до 31 декември 2032 г. по текущи цени. Сумата представлява външен целеви приход за целите на член 21, параграф 5 от Регламент (ЕС, Евратом) 2018/1046, без да се засяга член 30г, параграф 4, шеста алинея от Директива 2003/87/ЕО.</w:t>
      </w:r>
    </w:p>
    <w:p w:rsidR="00106A2A" w:rsidRPr="00106A2A" w:rsidRDefault="00106A2A" w:rsidP="00106A2A">
      <w:pPr>
        <w:widowControl/>
        <w:spacing w:before="120" w:after="120" w:line="360" w:lineRule="auto"/>
        <w:ind w:left="851"/>
        <w:rPr>
          <w:rFonts w:eastAsia="Calibri"/>
          <w:b/>
          <w:i/>
          <w:szCs w:val="22"/>
          <w:lang w:eastAsia="en-US"/>
        </w:rPr>
      </w:pPr>
      <w:r w:rsidRPr="00106A2A">
        <w:rPr>
          <w:rFonts w:eastAsia="Calibri"/>
          <w:b/>
          <w:i/>
          <w:szCs w:val="22"/>
          <w:lang w:eastAsia="en-US"/>
        </w:rPr>
        <w:t>Годишните суми, разпределени за Фонда, в рамките на максималната сума, определена в първа алинея от настоящия параграф, не надвишават сумите, посочени в член 30г, параграф 4, четвърта алинея от Директива 2003/87/ЕО.</w:t>
      </w:r>
    </w:p>
    <w:p w:rsidR="00106A2A" w:rsidRPr="00106A2A" w:rsidRDefault="00106A2A" w:rsidP="00106A2A">
      <w:pPr>
        <w:widowControl/>
        <w:spacing w:before="120" w:after="120" w:line="360" w:lineRule="auto"/>
        <w:ind w:left="851"/>
        <w:rPr>
          <w:rFonts w:eastAsia="Calibri"/>
          <w:szCs w:val="22"/>
          <w:lang w:eastAsia="en-US"/>
        </w:rPr>
      </w:pPr>
      <w:r w:rsidRPr="00106A2A">
        <w:rPr>
          <w:rFonts w:eastAsia="Calibri"/>
          <w:b/>
          <w:i/>
          <w:szCs w:val="22"/>
          <w:lang w:eastAsia="en-US"/>
        </w:rPr>
        <w:t>Ако системата за търговия с емисии, установена в съответствие с глава IVa от Директива 2003/87/ЕО, бъде отложена за 2028 г. съгласно член 30к от посочената директива, максималната сума, която трябва да се предостави на Фонда,</w:t>
      </w:r>
      <w:r w:rsidRPr="00106A2A">
        <w:rPr>
          <w:rFonts w:eastAsia="Calibri"/>
          <w:szCs w:val="22"/>
          <w:lang w:eastAsia="en-US"/>
        </w:rPr>
        <w:t xml:space="preserve"> е </w:t>
      </w:r>
      <w:r w:rsidRPr="00106A2A">
        <w:rPr>
          <w:rFonts w:eastAsia="Calibri"/>
          <w:b/>
          <w:i/>
          <w:szCs w:val="22"/>
          <w:lang w:eastAsia="en-US"/>
        </w:rPr>
        <w:t>54 600 000 000 EUR, а годишните суми, разпределени за Фонда, не надвишават съответните суми, посочени в член 30г, параграф 4, пета алинея от Директива 2003/87/ЕО</w:t>
      </w:r>
      <w:r w:rsidRPr="00106A2A">
        <w:rPr>
          <w:rFonts w:eastAsia="Calibri"/>
          <w:szCs w:val="22"/>
          <w:lang w:eastAsia="en-US"/>
        </w:rPr>
        <w:t>.</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br w:type="page"/>
      </w:r>
      <w:r w:rsidRPr="00106A2A">
        <w:rPr>
          <w:rFonts w:eastAsia="Calibri"/>
          <w:b/>
          <w:i/>
          <w:szCs w:val="22"/>
          <w:lang w:eastAsia="en-US"/>
        </w:rPr>
        <w:t>2.</w:t>
      </w:r>
      <w:r w:rsidRPr="00106A2A">
        <w:rPr>
          <w:rFonts w:eastAsia="Calibri"/>
          <w:szCs w:val="22"/>
          <w:lang w:eastAsia="en-US"/>
        </w:rPr>
        <w:tab/>
      </w:r>
      <w:r w:rsidRPr="00106A2A">
        <w:rPr>
          <w:rFonts w:eastAsia="Calibri"/>
          <w:b/>
          <w:i/>
          <w:szCs w:val="22"/>
          <w:lang w:eastAsia="en-US"/>
        </w:rPr>
        <w:t>Чрез дерогация от член 22, параграф 2 от Регламент (ЕС, Евратом) 2018/1046 и без да се засяга член 19 от настоящия регламент, бюджетните кредити за поети задължения, покриващи съответната максимална сума, посочена в параграф 1 от настоящия член, се предоставят автоматично в началото на всяка финансова година, считано от 1 януари 2026 г., до съответните приложими годишни суми, посочени в параграф 1, втора и трета алинея.</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3.</w:t>
      </w:r>
      <w:r w:rsidRPr="00106A2A">
        <w:rPr>
          <w:rFonts w:eastAsia="Calibri"/>
          <w:szCs w:val="22"/>
          <w:lang w:eastAsia="en-US"/>
        </w:rPr>
        <w:tab/>
        <w:t xml:space="preserve">Сумите, посочени в </w:t>
      </w:r>
      <w:r w:rsidRPr="00106A2A">
        <w:rPr>
          <w:rFonts w:eastAsia="Calibri"/>
          <w:b/>
          <w:i/>
          <w:szCs w:val="22"/>
          <w:lang w:eastAsia="en-US"/>
        </w:rPr>
        <w:t>параграф 1</w:t>
      </w:r>
      <w:r w:rsidRPr="00106A2A">
        <w:rPr>
          <w:rFonts w:eastAsia="Calibri"/>
          <w:szCs w:val="22"/>
          <w:lang w:eastAsia="en-US"/>
        </w:rPr>
        <w:t>, могат също така да покриват разходи, свързани с дейности по подготовка, мониторинг, контрол, одит и оценка, които са необходими за управлението на Фонда и постигането на неговите цели, по-специално проучвания, срещи на експерти, консултации със заинтересовани страни, информационни и комуникационни дейности, включително приобщаващи действия за популяризиране, и институционална комуникация за политическите приоритети на Съюза, доколкото те са свързани с целите на настоящия регламент, разходи, свързани с ИТ мрежи, насочени към обработката и обмена на информация, институционални инструменти в областта на информационните технологии, и всички други разходи за техническа и административна помощ, направени от Комисията за управлението на Фонда. Посочените суми могат да покриват също така разходите за други спомагателни дейности, като контрол на качеството и мониторинг на проектите на място, и разходите за партньорски консултации и експерти за оценката и изпълнението на допустимите дейности.</w:t>
      </w:r>
    </w:p>
    <w:p w:rsidR="00106A2A" w:rsidRPr="00106A2A" w:rsidRDefault="00106A2A" w:rsidP="00106A2A">
      <w:pPr>
        <w:widowControl/>
        <w:spacing w:before="120" w:after="120" w:line="360" w:lineRule="auto"/>
        <w:jc w:val="both"/>
        <w:rPr>
          <w:rFonts w:eastAsia="Calibri"/>
          <w:szCs w:val="22"/>
          <w:lang w:eastAsia="en-US"/>
        </w:rPr>
      </w:pP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keepNext/>
        <w:widowControl/>
        <w:spacing w:before="360" w:after="120" w:line="360" w:lineRule="auto"/>
        <w:jc w:val="center"/>
        <w:rPr>
          <w:rFonts w:eastAsia="Calibri"/>
          <w:szCs w:val="22"/>
          <w:lang w:eastAsia="en-US"/>
        </w:rPr>
      </w:pPr>
      <w:r w:rsidRPr="00106A2A">
        <w:rPr>
          <w:rFonts w:eastAsia="Calibri"/>
          <w:szCs w:val="22"/>
          <w:lang w:eastAsia="en-US"/>
        </w:rPr>
        <w:t>Член 11</w:t>
      </w:r>
      <w:r w:rsidRPr="00106A2A">
        <w:rPr>
          <w:rFonts w:eastAsia="Calibri"/>
          <w:szCs w:val="22"/>
          <w:lang w:eastAsia="en-US"/>
        </w:rPr>
        <w:br/>
        <w:t xml:space="preserve">Ресурси от </w:t>
      </w:r>
      <w:r w:rsidRPr="00106A2A">
        <w:rPr>
          <w:rFonts w:eastAsia="Calibri"/>
          <w:b/>
          <w:i/>
          <w:szCs w:val="22"/>
          <w:lang w:eastAsia="en-US"/>
        </w:rPr>
        <w:t xml:space="preserve">и за </w:t>
      </w:r>
      <w:r w:rsidRPr="00106A2A">
        <w:rPr>
          <w:rFonts w:eastAsia="Calibri"/>
          <w:szCs w:val="22"/>
          <w:lang w:eastAsia="en-US"/>
        </w:rPr>
        <w:t>програми, изпълнявани при условията на споделено управление и използване на ресурсите</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1.</w:t>
      </w:r>
      <w:r w:rsidRPr="00106A2A">
        <w:rPr>
          <w:rFonts w:eastAsia="Calibri"/>
          <w:szCs w:val="22"/>
          <w:lang w:eastAsia="en-US"/>
        </w:rPr>
        <w:tab/>
        <w:t>Ресурсите, разпределени на държавите членки при условията на споделено управление, могат, по искане на съответната държава членка, да бъдат прехвърлени към Фонда при условията, посочени в съответните разпоредби от Регламент (ЕС) 2021/1060. Комисията изпълнява тези ресурси пряко в съответствие с член 62, параграф 1, първа алинея, буква а) от Регламент (ЕС, Евратом) 2018/1046. Тези ресурси се използват изключително в полза на съответната държава членка.</w:t>
      </w:r>
    </w:p>
    <w:p w:rsidR="00106A2A" w:rsidRPr="00106A2A" w:rsidRDefault="00106A2A" w:rsidP="00106A2A">
      <w:pPr>
        <w:widowControl/>
        <w:spacing w:before="120" w:after="120" w:line="360" w:lineRule="auto"/>
        <w:ind w:left="851" w:hanging="851"/>
        <w:rPr>
          <w:rFonts w:eastAsia="Calibri"/>
          <w:b/>
          <w:i/>
          <w:szCs w:val="22"/>
          <w:lang w:eastAsia="en-US"/>
        </w:rPr>
      </w:pPr>
      <w:r w:rsidRPr="00106A2A">
        <w:rPr>
          <w:rFonts w:eastAsia="Calibri"/>
          <w:b/>
          <w:i/>
          <w:szCs w:val="22"/>
          <w:lang w:eastAsia="en-US"/>
        </w:rPr>
        <w:t>2.</w:t>
      </w:r>
      <w:r w:rsidRPr="00106A2A">
        <w:rPr>
          <w:rFonts w:eastAsia="Calibri"/>
          <w:szCs w:val="22"/>
          <w:lang w:eastAsia="en-US"/>
        </w:rPr>
        <w:tab/>
      </w:r>
      <w:r w:rsidRPr="00106A2A">
        <w:rPr>
          <w:rFonts w:eastAsia="Calibri"/>
          <w:b/>
          <w:i/>
          <w:szCs w:val="22"/>
          <w:lang w:eastAsia="en-US"/>
        </w:rPr>
        <w:t>В своите планове, представени в съответствие с член 4, параграф 1 от настоящия регламент, държавите членки могат да поискат прехвърляне на до 15 % от максималния размер на годишно разпределените им финансови средства към фондовете, изпълнявани при условията на споделено управление, предвидени в Регламент (ЕС) 2021/1060. Прехвърлените ресурси финансират мерките и инвестициите, посочени в член 8 от настоящия регламент, и се изпълняват в съответствие с правилата на фондовете, към които се прехвърлят. Ресурсите се прехвърлят от държавите членки чрез изменение на една или повече програми, с изключение на програмите по цел „Европейско териториално сътрудничество“ (Interreg), в съответствие с член 26а от Регламент (ЕС) 2021/1060, и се изпълняват в съответствие с правилата, определени в посочения регламент, и правилата за фондовете, към които се прехвърлят ресурсите.</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3.</w:t>
      </w:r>
      <w:r w:rsidRPr="00106A2A">
        <w:rPr>
          <w:rFonts w:eastAsia="Calibri"/>
          <w:szCs w:val="22"/>
          <w:lang w:eastAsia="en-US"/>
        </w:rPr>
        <w:tab/>
        <w:t xml:space="preserve">Държавите членки могат да възлагат на управляващите органи на програмите на ▌политиката на сближаване съгласно Регламент (ЕС) </w:t>
      </w:r>
      <w:r w:rsidRPr="00106A2A">
        <w:rPr>
          <w:rFonts w:eastAsia="Calibri"/>
          <w:b/>
          <w:i/>
          <w:szCs w:val="22"/>
          <w:lang w:eastAsia="en-US"/>
        </w:rPr>
        <w:t>2021/1060</w:t>
      </w:r>
      <w:r w:rsidRPr="00106A2A">
        <w:rPr>
          <w:rFonts w:eastAsia="Calibri"/>
          <w:szCs w:val="22"/>
          <w:lang w:eastAsia="en-US"/>
        </w:rPr>
        <w:t xml:space="preserve"> да изпълняват мерките и инвестициите, ползващи се от Фонда, когато това е приложимо, с оглед на полезните взаимодействия с тези програми на политиката на сближаване и в съответствие с целите на Фонда. Държавите членки заявяват в своите планове намерението си за такова възлагане на посочените органи.</w:t>
      </w:r>
      <w:r w:rsidRPr="00106A2A">
        <w:rPr>
          <w:rFonts w:eastAsia="Calibri"/>
          <w:b/>
          <w:i/>
          <w:szCs w:val="22"/>
          <w:lang w:eastAsia="en-US"/>
        </w:rPr>
        <w:t xml:space="preserve"> В тези случаи съществуващите системи за управление и контрол, въведени от държавите членки и нотифицирани на Комисията, се считат за отговарящи на изискванията на настоящия регламент.</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4.</w:t>
      </w:r>
      <w:r w:rsidRPr="00106A2A">
        <w:rPr>
          <w:rFonts w:eastAsia="Calibri"/>
          <w:szCs w:val="22"/>
          <w:lang w:eastAsia="en-US"/>
        </w:rPr>
        <w:tab/>
        <w:t>Държавите членки могат да включат в плановете си, като част от прогнозните общи разходи, плащанията за допълнителна техническа подкрепа съгласно член 7 от Регламент (ЕС) 2021/240 и размера на паричната вноска за целите на раздела „Държави членки“ съгласно съответните разпоредби от Регламент (ЕС) 2021/523 на Европейския парламент и на Съвета</w:t>
      </w:r>
      <w:r w:rsidRPr="00106A2A">
        <w:rPr>
          <w:rFonts w:eastAsia="Calibri"/>
          <w:b/>
          <w:szCs w:val="22"/>
          <w:vertAlign w:val="superscript"/>
          <w:lang w:eastAsia="en-US"/>
        </w:rPr>
        <w:footnoteReference w:id="31"/>
      </w:r>
      <w:r w:rsidRPr="00106A2A">
        <w:rPr>
          <w:rFonts w:eastAsia="Calibri"/>
          <w:szCs w:val="22"/>
          <w:lang w:eastAsia="en-US"/>
        </w:rPr>
        <w:t>. Тези разходи не могат да надвишават 4 % от максималния размер на разпределените финансови средства за плана, а съответните мерки, определени в плана, трябва да са в съответствие с настоящия регламент.</w:t>
      </w:r>
    </w:p>
    <w:p w:rsidR="00106A2A" w:rsidRPr="00106A2A" w:rsidRDefault="00106A2A" w:rsidP="00106A2A">
      <w:pPr>
        <w:keepNext/>
        <w:widowControl/>
        <w:spacing w:before="360" w:after="120" w:line="360" w:lineRule="auto"/>
        <w:jc w:val="center"/>
        <w:rPr>
          <w:rFonts w:eastAsia="Calibri"/>
          <w:szCs w:val="22"/>
          <w:lang w:eastAsia="en-US"/>
        </w:rPr>
      </w:pPr>
      <w:r w:rsidRPr="00106A2A">
        <w:rPr>
          <w:rFonts w:eastAsia="Calibri"/>
          <w:szCs w:val="22"/>
          <w:lang w:eastAsia="en-US"/>
        </w:rPr>
        <w:br w:type="page"/>
      </w:r>
    </w:p>
    <w:p w:rsidR="00106A2A" w:rsidRPr="00106A2A" w:rsidRDefault="00106A2A" w:rsidP="00106A2A">
      <w:pPr>
        <w:keepNext/>
        <w:widowControl/>
        <w:spacing w:before="360" w:after="120" w:line="360" w:lineRule="auto"/>
        <w:jc w:val="center"/>
        <w:rPr>
          <w:rFonts w:eastAsia="Calibri"/>
          <w:szCs w:val="22"/>
          <w:lang w:eastAsia="en-US"/>
        </w:rPr>
      </w:pPr>
      <w:r w:rsidRPr="00106A2A">
        <w:rPr>
          <w:rFonts w:eastAsia="Calibri"/>
          <w:szCs w:val="22"/>
          <w:lang w:eastAsia="en-US"/>
        </w:rPr>
        <w:t>Член 12</w:t>
      </w:r>
      <w:r w:rsidRPr="00106A2A">
        <w:rPr>
          <w:rFonts w:eastAsia="Calibri"/>
          <w:szCs w:val="22"/>
          <w:lang w:eastAsia="en-US"/>
        </w:rPr>
        <w:br/>
        <w:t>Изпълнение</w:t>
      </w:r>
    </w:p>
    <w:p w:rsidR="00106A2A" w:rsidRPr="00106A2A" w:rsidRDefault="00106A2A" w:rsidP="00106A2A">
      <w:pPr>
        <w:widowControl/>
        <w:spacing w:before="480" w:after="120" w:line="360" w:lineRule="auto"/>
        <w:rPr>
          <w:rFonts w:eastAsia="Calibri"/>
          <w:szCs w:val="22"/>
          <w:lang w:eastAsia="en-US"/>
        </w:rPr>
      </w:pPr>
      <w:r w:rsidRPr="00106A2A">
        <w:rPr>
          <w:rFonts w:eastAsia="Calibri"/>
          <w:szCs w:val="22"/>
          <w:lang w:eastAsia="en-US"/>
        </w:rPr>
        <w:t xml:space="preserve">Фондът се изпълнява от Комисията при условията на пряко управление в съответствие с относимите правила, приети съгласно член 322 от ДФЕС, по-специално Регламент (ЕС, Евратом) 2018/1046 и Регламент (ЕС, Евратом) 2020/2092 на Европейския парламент и на Съвета </w:t>
      </w:r>
      <w:r w:rsidRPr="00106A2A">
        <w:rPr>
          <w:rFonts w:eastAsia="Calibri"/>
          <w:b/>
          <w:bCs/>
          <w:i/>
          <w:iCs/>
          <w:szCs w:val="22"/>
          <w:lang w:eastAsia="en-US"/>
        </w:rPr>
        <w:t>относно общ режим на обвързаност с условия за защита на бюджета на Съюза</w:t>
      </w:r>
      <w:r w:rsidRPr="00106A2A">
        <w:rPr>
          <w:rFonts w:eastAsia="Calibri"/>
          <w:szCs w:val="22"/>
          <w:lang w:eastAsia="en-US"/>
        </w:rPr>
        <w:t>.</w:t>
      </w:r>
    </w:p>
    <w:p w:rsidR="00106A2A" w:rsidRPr="00106A2A" w:rsidRDefault="00106A2A" w:rsidP="00106A2A">
      <w:pPr>
        <w:keepNext/>
        <w:widowControl/>
        <w:spacing w:before="360" w:after="120" w:line="360" w:lineRule="auto"/>
        <w:jc w:val="center"/>
        <w:rPr>
          <w:rFonts w:eastAsia="Calibri"/>
          <w:szCs w:val="22"/>
          <w:lang w:eastAsia="en-US"/>
        </w:rPr>
      </w:pPr>
      <w:r w:rsidRPr="00106A2A">
        <w:rPr>
          <w:rFonts w:eastAsia="Calibri"/>
          <w:szCs w:val="22"/>
          <w:lang w:eastAsia="en-US"/>
        </w:rPr>
        <w:t>Член 13</w:t>
      </w:r>
      <w:r w:rsidRPr="00106A2A">
        <w:rPr>
          <w:rFonts w:eastAsia="Calibri"/>
          <w:szCs w:val="22"/>
          <w:lang w:eastAsia="en-US"/>
        </w:rPr>
        <w:br/>
        <w:t>Допълняемост и допълнително финансиране</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1.</w:t>
      </w:r>
      <w:r w:rsidRPr="00106A2A">
        <w:rPr>
          <w:rFonts w:eastAsia="Calibri"/>
          <w:szCs w:val="22"/>
          <w:lang w:eastAsia="en-US"/>
        </w:rPr>
        <w:tab/>
        <w:t>Подкрепата по линия на Фонда допълва подкрепата, предоставяна по линия на други фондове, програми и инструменти на Съюза. Мерките и инвестициите, подкрепяни от Фонда, могат да получават подкрепа от други фондове, програми и инструменти на Съюза, при условие че тази подкрепа не покрива същите разходи.</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2.</w:t>
      </w:r>
      <w:r w:rsidRPr="00106A2A">
        <w:rPr>
          <w:rFonts w:eastAsia="Calibri"/>
          <w:szCs w:val="22"/>
          <w:lang w:eastAsia="en-US"/>
        </w:rPr>
        <w:tab/>
        <w:t xml:space="preserve">Подкрепата от Фонда, </w:t>
      </w:r>
      <w:r w:rsidRPr="00106A2A">
        <w:rPr>
          <w:rFonts w:eastAsia="Calibri"/>
          <w:b/>
          <w:i/>
          <w:szCs w:val="22"/>
          <w:lang w:eastAsia="en-US"/>
        </w:rPr>
        <w:t>включително посоченото в член 4, параграф 3 временно пряко подпомагане на доходите</w:t>
      </w:r>
      <w:r w:rsidRPr="00106A2A">
        <w:rPr>
          <w:rFonts w:eastAsia="Calibri"/>
          <w:szCs w:val="22"/>
          <w:lang w:eastAsia="en-US"/>
        </w:rPr>
        <w:t>, допълва, а не замества периодичните национални бюджетни разходи.</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b/>
          <w:i/>
          <w:szCs w:val="22"/>
          <w:lang w:eastAsia="en-US"/>
        </w:rPr>
        <w:t>3.</w:t>
      </w:r>
      <w:r w:rsidRPr="00106A2A">
        <w:rPr>
          <w:rFonts w:eastAsia="Calibri"/>
          <w:szCs w:val="22"/>
          <w:lang w:eastAsia="en-US"/>
        </w:rPr>
        <w:tab/>
      </w:r>
      <w:r w:rsidRPr="00106A2A">
        <w:rPr>
          <w:rFonts w:eastAsia="Calibri"/>
          <w:b/>
          <w:i/>
          <w:szCs w:val="22"/>
          <w:lang w:eastAsia="en-US"/>
        </w:rPr>
        <w:t>За техническата помощ за държавите членки административните разходи, пряко свързани с изпълнението на плана, не се считат за периодични национални бюджетни разходи.</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keepNext/>
        <w:widowControl/>
        <w:spacing w:before="360" w:after="120" w:line="360" w:lineRule="auto"/>
        <w:jc w:val="center"/>
        <w:rPr>
          <w:rFonts w:eastAsia="Calibri"/>
          <w:szCs w:val="22"/>
          <w:lang w:eastAsia="en-US"/>
        </w:rPr>
      </w:pPr>
      <w:r w:rsidRPr="00106A2A">
        <w:rPr>
          <w:rFonts w:eastAsia="Calibri"/>
          <w:szCs w:val="22"/>
          <w:lang w:eastAsia="en-US"/>
        </w:rPr>
        <w:t>Член 14</w:t>
      </w:r>
    </w:p>
    <w:p w:rsidR="00106A2A" w:rsidRPr="00106A2A" w:rsidRDefault="00106A2A" w:rsidP="00106A2A">
      <w:pPr>
        <w:widowControl/>
        <w:spacing w:before="120" w:after="120" w:line="360" w:lineRule="auto"/>
        <w:jc w:val="center"/>
        <w:rPr>
          <w:rFonts w:eastAsia="Calibri"/>
          <w:szCs w:val="22"/>
          <w:lang w:eastAsia="en-US"/>
        </w:rPr>
      </w:pPr>
      <w:r w:rsidRPr="00106A2A">
        <w:rPr>
          <w:rFonts w:eastAsia="Calibri"/>
          <w:szCs w:val="22"/>
          <w:lang w:eastAsia="en-US"/>
        </w:rPr>
        <w:t>Максимален размер на разпределените финансови средства</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1.</w:t>
      </w:r>
      <w:r w:rsidRPr="00106A2A">
        <w:rPr>
          <w:rFonts w:eastAsia="Calibri"/>
          <w:szCs w:val="22"/>
          <w:lang w:eastAsia="en-US"/>
        </w:rPr>
        <w:tab/>
        <w:t xml:space="preserve">За всяка държава членка максималният размер на разпределените финансови средства се изчислява </w:t>
      </w:r>
      <w:r w:rsidRPr="00106A2A">
        <w:rPr>
          <w:rFonts w:eastAsia="Calibri"/>
          <w:b/>
          <w:i/>
          <w:szCs w:val="22"/>
          <w:lang w:eastAsia="en-US"/>
        </w:rPr>
        <w:t xml:space="preserve">в съответствие с член 10 и </w:t>
      </w:r>
      <w:r w:rsidRPr="00106A2A">
        <w:rPr>
          <w:rFonts w:eastAsia="Calibri"/>
          <w:szCs w:val="22"/>
          <w:lang w:eastAsia="en-US"/>
        </w:rPr>
        <w:t>както е посочено в приложения I и II.</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2.</w:t>
      </w:r>
      <w:r w:rsidRPr="00106A2A">
        <w:rPr>
          <w:rFonts w:eastAsia="Calibri"/>
          <w:szCs w:val="22"/>
          <w:lang w:eastAsia="en-US"/>
        </w:rPr>
        <w:tab/>
        <w:t>Всяка държава членка може да подаде искане до максималния размер на разпределените ѝ финансови средства, за да изпълни плана си.</w:t>
      </w:r>
    </w:p>
    <w:p w:rsidR="00106A2A" w:rsidRPr="00106A2A" w:rsidRDefault="00106A2A" w:rsidP="00106A2A">
      <w:pPr>
        <w:keepNext/>
        <w:widowControl/>
        <w:spacing w:before="360" w:after="120" w:line="360" w:lineRule="auto"/>
        <w:jc w:val="center"/>
        <w:rPr>
          <w:rFonts w:eastAsia="Calibri"/>
          <w:szCs w:val="22"/>
          <w:lang w:eastAsia="en-US"/>
        </w:rPr>
      </w:pPr>
      <w:r w:rsidRPr="00106A2A">
        <w:rPr>
          <w:rFonts w:eastAsia="Calibri"/>
          <w:szCs w:val="22"/>
          <w:lang w:eastAsia="en-US"/>
        </w:rPr>
        <w:t>Член 15</w:t>
      </w:r>
    </w:p>
    <w:p w:rsidR="00106A2A" w:rsidRPr="00106A2A" w:rsidRDefault="00106A2A" w:rsidP="00106A2A">
      <w:pPr>
        <w:widowControl/>
        <w:spacing w:before="120" w:after="120" w:line="360" w:lineRule="auto"/>
        <w:jc w:val="center"/>
        <w:rPr>
          <w:rFonts w:eastAsia="Calibri"/>
          <w:szCs w:val="22"/>
          <w:lang w:eastAsia="en-US"/>
        </w:rPr>
      </w:pPr>
      <w:r w:rsidRPr="00106A2A">
        <w:rPr>
          <w:rFonts w:eastAsia="Calibri"/>
          <w:szCs w:val="22"/>
          <w:lang w:eastAsia="en-US"/>
        </w:rPr>
        <w:t>Национално участие в прогнозните общи разходи</w:t>
      </w:r>
    </w:p>
    <w:p w:rsidR="00106A2A" w:rsidRPr="00106A2A" w:rsidRDefault="00106A2A" w:rsidP="00106A2A">
      <w:pPr>
        <w:widowControl/>
        <w:spacing w:before="120" w:after="120" w:line="360" w:lineRule="auto"/>
        <w:jc w:val="both"/>
        <w:rPr>
          <w:rFonts w:eastAsia="Calibri"/>
          <w:szCs w:val="22"/>
          <w:lang w:eastAsia="en-US"/>
        </w:rPr>
      </w:pPr>
      <w:r w:rsidRPr="00106A2A">
        <w:rPr>
          <w:rFonts w:eastAsia="Calibri"/>
          <w:szCs w:val="22"/>
          <w:lang w:eastAsia="en-US"/>
        </w:rPr>
        <w:t xml:space="preserve">Държавите членки поемат най-малко </w:t>
      </w:r>
      <w:r w:rsidRPr="00106A2A">
        <w:rPr>
          <w:rFonts w:eastAsia="Calibri"/>
          <w:b/>
          <w:i/>
          <w:szCs w:val="22"/>
          <w:lang w:eastAsia="en-US"/>
        </w:rPr>
        <w:t>25</w:t>
      </w:r>
      <w:r w:rsidRPr="00106A2A">
        <w:rPr>
          <w:rFonts w:eastAsia="Calibri"/>
          <w:szCs w:val="22"/>
          <w:lang w:eastAsia="en-US"/>
        </w:rPr>
        <w:t> % от прогнозните общи разходи по своите планове.</w:t>
      </w:r>
    </w:p>
    <w:p w:rsidR="00106A2A" w:rsidRPr="00106A2A" w:rsidRDefault="00106A2A" w:rsidP="00106A2A">
      <w:pPr>
        <w:widowControl/>
        <w:spacing w:before="120" w:after="120" w:line="360" w:lineRule="auto"/>
        <w:ind w:left="851" w:hanging="851"/>
        <w:jc w:val="both"/>
        <w:rPr>
          <w:rFonts w:eastAsia="Calibri"/>
          <w:szCs w:val="22"/>
          <w:lang w:eastAsia="en-US"/>
        </w:rPr>
      </w:pPr>
      <w:r w:rsidRPr="00106A2A">
        <w:rPr>
          <w:rFonts w:eastAsia="Calibri"/>
          <w:szCs w:val="22"/>
          <w:lang w:eastAsia="en-US"/>
        </w:rPr>
        <w:tab/>
        <w:t>▌</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keepNext/>
        <w:widowControl/>
        <w:spacing w:before="360" w:after="120" w:line="360" w:lineRule="auto"/>
        <w:jc w:val="center"/>
        <w:rPr>
          <w:rFonts w:eastAsia="Calibri"/>
          <w:szCs w:val="22"/>
          <w:lang w:eastAsia="en-US"/>
        </w:rPr>
      </w:pPr>
      <w:r w:rsidRPr="00106A2A">
        <w:rPr>
          <w:rFonts w:eastAsia="Calibri"/>
          <w:szCs w:val="22"/>
          <w:lang w:eastAsia="en-US"/>
        </w:rPr>
        <w:t>Член 16</w:t>
      </w:r>
    </w:p>
    <w:p w:rsidR="00106A2A" w:rsidRPr="00106A2A" w:rsidRDefault="00106A2A" w:rsidP="00106A2A">
      <w:pPr>
        <w:widowControl/>
        <w:spacing w:before="120" w:after="120" w:line="360" w:lineRule="auto"/>
        <w:jc w:val="center"/>
        <w:rPr>
          <w:rFonts w:eastAsia="Calibri"/>
          <w:szCs w:val="22"/>
          <w:lang w:eastAsia="en-US"/>
        </w:rPr>
      </w:pPr>
      <w:r w:rsidRPr="00106A2A">
        <w:rPr>
          <w:rFonts w:eastAsia="Calibri"/>
          <w:szCs w:val="22"/>
          <w:lang w:eastAsia="en-US"/>
        </w:rPr>
        <w:t>Оценка на Комисията</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1.</w:t>
      </w:r>
      <w:r w:rsidRPr="00106A2A">
        <w:rPr>
          <w:rFonts w:eastAsia="Calibri"/>
          <w:szCs w:val="22"/>
          <w:lang w:eastAsia="en-US"/>
        </w:rPr>
        <w:tab/>
        <w:t>Комисията оценява плана или, когато е приложимо, изменението на този план, представено от държавата членка в съответствие с член 18, за съответствие с настоящия регламент. При извършването на тази оценка Комисията действа в тясно сътрудничество със съответната държава членка. Комисията може да направи коментари или да поиска допълнителна информация</w:t>
      </w:r>
      <w:r w:rsidRPr="00106A2A">
        <w:rPr>
          <w:rFonts w:eastAsia="Calibri"/>
          <w:b/>
          <w:i/>
          <w:szCs w:val="22"/>
          <w:lang w:eastAsia="en-US"/>
        </w:rPr>
        <w:t xml:space="preserve"> до два месеца от датата на представянето на плана от държавата членка</w:t>
      </w:r>
      <w:r w:rsidRPr="00106A2A">
        <w:rPr>
          <w:rFonts w:eastAsia="Calibri"/>
          <w:szCs w:val="22"/>
          <w:lang w:eastAsia="en-US"/>
        </w:rPr>
        <w:t>. Всяка държава членка предоставя поисканата допълнителна информация и може да преразгледа плана, ако е необходимо, включително след неговото представяне. Държавата членка и Комисията могат да се споразумеят да удължат срока за оценка с разумен период от време, ако е необходимо.</w:t>
      </w:r>
    </w:p>
    <w:p w:rsidR="00106A2A" w:rsidRPr="00106A2A" w:rsidRDefault="00106A2A" w:rsidP="00106A2A">
      <w:pPr>
        <w:widowControl/>
        <w:spacing w:before="120" w:after="120" w:line="360" w:lineRule="auto"/>
        <w:ind w:left="851" w:hanging="851"/>
        <w:jc w:val="both"/>
        <w:rPr>
          <w:rFonts w:eastAsia="Calibri"/>
          <w:szCs w:val="22"/>
          <w:lang w:eastAsia="en-US"/>
        </w:rPr>
      </w:pPr>
      <w:r w:rsidRPr="00106A2A">
        <w:rPr>
          <w:rFonts w:eastAsia="Calibri"/>
          <w:b/>
          <w:i/>
          <w:szCs w:val="22"/>
          <w:lang w:eastAsia="en-US"/>
        </w:rPr>
        <w:t>2.</w:t>
      </w:r>
      <w:r w:rsidRPr="00106A2A">
        <w:rPr>
          <w:rFonts w:eastAsia="Calibri"/>
          <w:szCs w:val="22"/>
          <w:lang w:eastAsia="en-US"/>
        </w:rPr>
        <w:tab/>
      </w:r>
      <w:r w:rsidRPr="00106A2A">
        <w:rPr>
          <w:rFonts w:eastAsia="Calibri"/>
          <w:b/>
          <w:i/>
          <w:szCs w:val="22"/>
          <w:lang w:eastAsia="en-US"/>
        </w:rPr>
        <w:t>Комисията оценява дали прехвърлянията, поискани в съответствие с член 11, отговарят на целите на настоящия регламент.</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3.</w:t>
      </w:r>
      <w:r w:rsidRPr="00106A2A">
        <w:rPr>
          <w:rFonts w:eastAsia="Calibri"/>
          <w:szCs w:val="22"/>
          <w:lang w:eastAsia="en-US"/>
        </w:rPr>
        <w:tab/>
        <w:t xml:space="preserve">Комисията оценява адекватността, ефективността, ефикасността и съгласуваността на плана, </w:t>
      </w:r>
      <w:r w:rsidRPr="00106A2A">
        <w:rPr>
          <w:rFonts w:eastAsia="Calibri"/>
          <w:b/>
          <w:i/>
          <w:szCs w:val="22"/>
          <w:lang w:eastAsia="en-US"/>
        </w:rPr>
        <w:t xml:space="preserve">като взема предвид специфичните предизвикателства и разпределените финансови средства на държавата членка, </w:t>
      </w:r>
      <w:r w:rsidRPr="00106A2A">
        <w:rPr>
          <w:rFonts w:eastAsia="Calibri"/>
          <w:szCs w:val="22"/>
          <w:lang w:eastAsia="en-US"/>
        </w:rPr>
        <w:t>както следва:</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t>a)</w:t>
      </w:r>
      <w:r w:rsidRPr="00106A2A">
        <w:rPr>
          <w:rFonts w:eastAsia="Calibri"/>
          <w:szCs w:val="22"/>
          <w:lang w:eastAsia="en-US"/>
        </w:rPr>
        <w:tab/>
        <w:t>за оценяване на адекватността Комисията взема предвид следните критерии:</w:t>
      </w:r>
    </w:p>
    <w:p w:rsidR="00106A2A" w:rsidRPr="00106A2A" w:rsidRDefault="00106A2A" w:rsidP="00106A2A">
      <w:pPr>
        <w:widowControl/>
        <w:spacing w:before="120" w:after="120" w:line="360" w:lineRule="auto"/>
        <w:ind w:left="1985" w:hanging="567"/>
        <w:rPr>
          <w:rFonts w:eastAsia="Calibri"/>
          <w:szCs w:val="22"/>
          <w:lang w:eastAsia="en-US"/>
        </w:rPr>
      </w:pPr>
      <w:r w:rsidRPr="00106A2A">
        <w:rPr>
          <w:rFonts w:eastAsia="Calibri"/>
          <w:szCs w:val="22"/>
          <w:lang w:eastAsia="en-US"/>
        </w:rPr>
        <w:br w:type="page"/>
        <w:t>i)</w:t>
      </w:r>
      <w:r w:rsidRPr="00106A2A">
        <w:rPr>
          <w:rFonts w:eastAsia="Calibri"/>
          <w:szCs w:val="22"/>
          <w:lang w:eastAsia="en-US"/>
        </w:rPr>
        <w:tab/>
        <w:t>дали планът ▌</w:t>
      </w:r>
      <w:r w:rsidRPr="00106A2A">
        <w:rPr>
          <w:rFonts w:eastAsia="Calibri"/>
          <w:b/>
          <w:i/>
          <w:szCs w:val="22"/>
          <w:lang w:eastAsia="en-US"/>
        </w:rPr>
        <w:t>отговаря адекватно</w:t>
      </w:r>
      <w:r w:rsidRPr="00106A2A">
        <w:rPr>
          <w:rFonts w:eastAsia="Calibri"/>
          <w:szCs w:val="22"/>
          <w:lang w:eastAsia="en-US"/>
        </w:rPr>
        <w:t xml:space="preserve"> на социалното въздействие върху уязвимите домакинства, уязвимите микропредприятия и уязвимите ползватели на транспорт в дадената държава членка и на предизвикателствата пред тях, възникнали като последица от </w:t>
      </w:r>
      <w:r w:rsidRPr="00106A2A">
        <w:rPr>
          <w:rFonts w:eastAsia="Calibri"/>
          <w:b/>
          <w:i/>
          <w:szCs w:val="22"/>
          <w:lang w:eastAsia="en-US"/>
        </w:rPr>
        <w:t>включването на емисиите на парникови газове от</w:t>
      </w:r>
      <w:r w:rsidRPr="00106A2A">
        <w:rPr>
          <w:rFonts w:eastAsia="Calibri"/>
          <w:szCs w:val="22"/>
          <w:lang w:eastAsia="en-US"/>
        </w:rPr>
        <w:t xml:space="preserve"> сградите и от автомобилния транспорт </w:t>
      </w:r>
      <w:r w:rsidRPr="00106A2A">
        <w:rPr>
          <w:rFonts w:eastAsia="Calibri"/>
          <w:b/>
          <w:i/>
          <w:szCs w:val="22"/>
          <w:lang w:eastAsia="en-US"/>
        </w:rPr>
        <w:t>в приложното поле на</w:t>
      </w:r>
      <w:r w:rsidRPr="00106A2A">
        <w:rPr>
          <w:rFonts w:eastAsia="Calibri"/>
          <w:szCs w:val="22"/>
          <w:lang w:eastAsia="en-US"/>
        </w:rPr>
        <w:t xml:space="preserve"> Директива 2003/87/EО, по-специално</w:t>
      </w:r>
      <w:r w:rsidRPr="00106A2A">
        <w:rPr>
          <w:rFonts w:eastAsia="Calibri"/>
          <w:b/>
          <w:i/>
          <w:szCs w:val="22"/>
          <w:lang w:eastAsia="en-US"/>
        </w:rPr>
        <w:t xml:space="preserve"> спрямо</w:t>
      </w:r>
      <w:r w:rsidRPr="00106A2A">
        <w:rPr>
          <w:rFonts w:eastAsia="Calibri"/>
          <w:szCs w:val="22"/>
          <w:lang w:eastAsia="en-US"/>
        </w:rPr>
        <w:t xml:space="preserve"> домакинствата в енергийна бедност</w:t>
      </w:r>
      <w:r w:rsidRPr="00106A2A">
        <w:rPr>
          <w:rFonts w:eastAsia="Calibri"/>
          <w:b/>
          <w:i/>
          <w:szCs w:val="22"/>
          <w:lang w:eastAsia="en-US"/>
        </w:rPr>
        <w:t xml:space="preserve"> или  домакинствата в транспортна бедност</w:t>
      </w:r>
      <w:r w:rsidRPr="00106A2A">
        <w:rPr>
          <w:rFonts w:eastAsia="Calibri"/>
          <w:szCs w:val="22"/>
          <w:lang w:eastAsia="en-US"/>
        </w:rPr>
        <w:t xml:space="preserve">, и дали в него са взети надлежно под внимание предизвикателствата, определени в направените от Комисията оценки на актуализирания интегриран национален план на съответната държава членка в областта на енергетиката и климата и на напредъка по него съгласно член 9, параграф 3, член 13 и член 29 от Регламент (ЕС) 2018/1999, както и в препоръките на Комисията към държавите членки, отправени съгласно член 34 от същия регламент с оглед на </w:t>
      </w:r>
      <w:r w:rsidRPr="00106A2A">
        <w:rPr>
          <w:rFonts w:eastAsia="Calibri"/>
          <w:b/>
          <w:i/>
          <w:szCs w:val="22"/>
          <w:lang w:eastAsia="en-US"/>
        </w:rPr>
        <w:t>целите на Съюза за 2030 г. в областта на климата и енергетиката и на</w:t>
      </w:r>
      <w:r w:rsidRPr="00106A2A">
        <w:rPr>
          <w:rFonts w:eastAsia="Calibri"/>
          <w:szCs w:val="22"/>
          <w:lang w:eastAsia="en-US"/>
        </w:rPr>
        <w:t xml:space="preserve"> дългосрочната цел </w:t>
      </w:r>
      <w:r w:rsidRPr="00106A2A">
        <w:rPr>
          <w:rFonts w:eastAsia="Calibri"/>
          <w:b/>
          <w:i/>
          <w:szCs w:val="22"/>
          <w:lang w:eastAsia="en-US"/>
        </w:rPr>
        <w:t>на Съюза за неутралност по отношение на климата най-късно до 2050 г.;</w:t>
      </w:r>
    </w:p>
    <w:p w:rsidR="00106A2A" w:rsidRPr="00106A2A" w:rsidRDefault="00106A2A" w:rsidP="00106A2A">
      <w:pPr>
        <w:widowControl/>
        <w:spacing w:before="120" w:after="120" w:line="360" w:lineRule="auto"/>
        <w:ind w:left="1985" w:hanging="567"/>
        <w:rPr>
          <w:rFonts w:eastAsia="Calibri"/>
          <w:szCs w:val="22"/>
          <w:lang w:eastAsia="en-US"/>
        </w:rPr>
      </w:pPr>
      <w:r w:rsidRPr="00106A2A">
        <w:rPr>
          <w:rFonts w:eastAsia="Calibri"/>
          <w:szCs w:val="22"/>
          <w:lang w:eastAsia="en-US"/>
        </w:rPr>
        <w:t>ii)</w:t>
      </w:r>
      <w:r w:rsidRPr="00106A2A">
        <w:rPr>
          <w:rFonts w:eastAsia="Calibri"/>
          <w:szCs w:val="22"/>
          <w:lang w:eastAsia="en-US"/>
        </w:rPr>
        <w:tab/>
        <w:t>дали се очаква планът да гарантира, че</w:t>
      </w:r>
      <w:r w:rsidRPr="00106A2A">
        <w:rPr>
          <w:rFonts w:eastAsia="Calibri"/>
          <w:b/>
          <w:i/>
          <w:szCs w:val="22"/>
          <w:lang w:eastAsia="en-US"/>
        </w:rPr>
        <w:t xml:space="preserve"> мерките и инвестициите,</w:t>
      </w:r>
      <w:r w:rsidRPr="00106A2A">
        <w:rPr>
          <w:rFonts w:eastAsia="Calibri"/>
          <w:szCs w:val="22"/>
          <w:lang w:eastAsia="en-US"/>
        </w:rPr>
        <w:t xml:space="preserve"> включени в плана, </w:t>
      </w:r>
      <w:r w:rsidRPr="00106A2A">
        <w:rPr>
          <w:rFonts w:eastAsia="Calibri"/>
          <w:b/>
          <w:i/>
          <w:szCs w:val="22"/>
          <w:lang w:eastAsia="en-US"/>
        </w:rPr>
        <w:t>не</w:t>
      </w:r>
      <w:r w:rsidRPr="00106A2A">
        <w:rPr>
          <w:rFonts w:eastAsia="Calibri"/>
          <w:szCs w:val="22"/>
          <w:lang w:eastAsia="en-US"/>
        </w:rPr>
        <w:t xml:space="preserve"> нанасят значителни вреди на екологичните цели по смисъла на член 17 от Регламент (ЕС) 2020/852</w:t>
      </w:r>
      <w:r w:rsidRPr="00106A2A">
        <w:rPr>
          <w:rFonts w:eastAsia="Calibri"/>
          <w:b/>
          <w:i/>
          <w:szCs w:val="22"/>
          <w:lang w:eastAsia="en-US"/>
        </w:rPr>
        <w:t>, и дали планът спомага за намаляване на зависимостта от изкопаеми горива</w:t>
      </w:r>
      <w:r w:rsidRPr="00106A2A">
        <w:rPr>
          <w:rFonts w:eastAsia="Calibri"/>
          <w:szCs w:val="22"/>
          <w:lang w:eastAsia="en-US"/>
        </w:rPr>
        <w:t>;</w:t>
      </w:r>
    </w:p>
    <w:p w:rsidR="00106A2A" w:rsidRPr="00106A2A" w:rsidRDefault="00106A2A" w:rsidP="00106A2A">
      <w:pPr>
        <w:widowControl/>
        <w:spacing w:before="120" w:after="120" w:line="360" w:lineRule="auto"/>
        <w:ind w:left="1985" w:hanging="567"/>
        <w:rPr>
          <w:rFonts w:eastAsia="Calibri"/>
          <w:szCs w:val="22"/>
          <w:lang w:eastAsia="en-US"/>
        </w:rPr>
      </w:pPr>
      <w:r w:rsidRPr="00106A2A">
        <w:rPr>
          <w:rFonts w:eastAsia="Calibri"/>
          <w:szCs w:val="22"/>
          <w:lang w:eastAsia="en-US"/>
        </w:rPr>
        <w:t>iii)</w:t>
      </w:r>
      <w:r w:rsidRPr="00106A2A">
        <w:rPr>
          <w:rFonts w:eastAsia="Calibri"/>
          <w:szCs w:val="22"/>
          <w:lang w:eastAsia="en-US"/>
        </w:rPr>
        <w:tab/>
        <w:t xml:space="preserve">дали планът включва мерки и инвестиции, които допринасят за прехода към зелена икономика, включително за справяне с произтичащите от него </w:t>
      </w:r>
      <w:r w:rsidRPr="00106A2A">
        <w:rPr>
          <w:rFonts w:eastAsia="Calibri"/>
          <w:b/>
          <w:i/>
          <w:szCs w:val="22"/>
          <w:lang w:eastAsia="en-US"/>
        </w:rPr>
        <w:t xml:space="preserve">социални въздействия и </w:t>
      </w:r>
      <w:r w:rsidRPr="00106A2A">
        <w:rPr>
          <w:rFonts w:eastAsia="Calibri"/>
          <w:szCs w:val="22"/>
          <w:lang w:eastAsia="en-US"/>
        </w:rPr>
        <w:t xml:space="preserve">предизвикателства, и по-специално за постигането на целите на </w:t>
      </w:r>
      <w:r w:rsidRPr="00106A2A">
        <w:rPr>
          <w:rFonts w:eastAsia="Calibri"/>
          <w:b/>
          <w:i/>
          <w:szCs w:val="22"/>
          <w:lang w:eastAsia="en-US"/>
        </w:rPr>
        <w:t>Съюза за 2030 г.</w:t>
      </w:r>
      <w:r w:rsidRPr="00106A2A">
        <w:rPr>
          <w:rFonts w:eastAsia="Calibri"/>
          <w:szCs w:val="22"/>
          <w:lang w:eastAsia="en-US"/>
        </w:rPr>
        <w:t xml:space="preserve"> в областта на климата </w:t>
      </w:r>
      <w:r w:rsidRPr="00106A2A">
        <w:rPr>
          <w:rFonts w:eastAsia="Calibri"/>
          <w:b/>
          <w:i/>
          <w:szCs w:val="22"/>
          <w:lang w:eastAsia="en-US"/>
        </w:rPr>
        <w:t xml:space="preserve">и енергетиката, на дългосрочната цел на Съюза за неутралност по отношение на климата най-късно до 2050 г. </w:t>
      </w:r>
      <w:r w:rsidRPr="00106A2A">
        <w:rPr>
          <w:rFonts w:eastAsia="Calibri"/>
          <w:szCs w:val="22"/>
          <w:lang w:eastAsia="en-US"/>
        </w:rPr>
        <w:t>и на междинните цели за 2030 г. от стратегията на Съюза за устойчива и интелигентна мобилност;</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br w:type="page"/>
        <w:t>б)</w:t>
      </w:r>
      <w:r w:rsidRPr="00106A2A">
        <w:rPr>
          <w:rFonts w:eastAsia="Calibri"/>
          <w:szCs w:val="22"/>
          <w:lang w:eastAsia="en-US"/>
        </w:rPr>
        <w:tab/>
        <w:t>за оценяване на ефективността Комисията взема предвид следните критерии:</w:t>
      </w:r>
    </w:p>
    <w:p w:rsidR="00106A2A" w:rsidRPr="00106A2A" w:rsidRDefault="00106A2A" w:rsidP="00106A2A">
      <w:pPr>
        <w:widowControl/>
        <w:spacing w:before="120" w:after="120" w:line="360" w:lineRule="auto"/>
        <w:ind w:left="1985" w:hanging="567"/>
        <w:rPr>
          <w:rFonts w:eastAsia="Calibri"/>
          <w:szCs w:val="22"/>
          <w:lang w:eastAsia="en-US"/>
        </w:rPr>
      </w:pPr>
      <w:r w:rsidRPr="00106A2A">
        <w:rPr>
          <w:rFonts w:eastAsia="Calibri"/>
          <w:szCs w:val="22"/>
          <w:lang w:eastAsia="en-US"/>
        </w:rPr>
        <w:t>i)</w:t>
      </w:r>
      <w:r w:rsidRPr="00106A2A">
        <w:rPr>
          <w:rFonts w:eastAsia="Calibri"/>
          <w:szCs w:val="22"/>
          <w:lang w:eastAsia="en-US"/>
        </w:rPr>
        <w:tab/>
        <w:t xml:space="preserve">дали се очаква планът да окаже трайно въздействие в държавата членка върху предизвикателствата, които се опитва да преодолее, </w:t>
      </w:r>
      <w:r w:rsidRPr="00106A2A">
        <w:rPr>
          <w:rFonts w:eastAsia="Calibri"/>
          <w:b/>
          <w:i/>
          <w:szCs w:val="22"/>
          <w:lang w:eastAsia="en-US"/>
        </w:rPr>
        <w:t>в съответствие с целите на Съюза за 2030 г. в областта на климата и енергетиката и на дългосрочната цел на Съюза за неутралност по отношение на климата най-късно до 2050 г.</w:t>
      </w:r>
      <w:r w:rsidRPr="00106A2A">
        <w:rPr>
          <w:rFonts w:eastAsia="Calibri"/>
          <w:szCs w:val="22"/>
          <w:lang w:eastAsia="en-US"/>
        </w:rPr>
        <w:t xml:space="preserve">, по-специално за уязвимите домакинства, уязвимите микропредприятия и уязвимите ползватели на транспорт и особено за домакинствата в енергийна </w:t>
      </w:r>
      <w:r w:rsidRPr="00106A2A">
        <w:rPr>
          <w:rFonts w:eastAsia="Calibri"/>
          <w:b/>
          <w:i/>
          <w:szCs w:val="22"/>
          <w:lang w:eastAsia="en-US"/>
        </w:rPr>
        <w:t>бедност и домакинствата в транспортна бедност</w:t>
      </w:r>
      <w:r w:rsidRPr="00106A2A">
        <w:rPr>
          <w:rFonts w:eastAsia="Calibri"/>
          <w:szCs w:val="22"/>
          <w:lang w:eastAsia="en-US"/>
        </w:rPr>
        <w:t>;</w:t>
      </w:r>
    </w:p>
    <w:p w:rsidR="00106A2A" w:rsidRPr="00106A2A" w:rsidRDefault="00106A2A" w:rsidP="00106A2A">
      <w:pPr>
        <w:widowControl/>
        <w:spacing w:before="120" w:after="120" w:line="360" w:lineRule="auto"/>
        <w:ind w:left="1985" w:hanging="567"/>
        <w:rPr>
          <w:rFonts w:eastAsia="Calibri"/>
          <w:szCs w:val="22"/>
          <w:lang w:eastAsia="en-US"/>
        </w:rPr>
      </w:pPr>
      <w:r w:rsidRPr="00106A2A">
        <w:rPr>
          <w:rFonts w:eastAsia="Calibri"/>
          <w:szCs w:val="22"/>
          <w:lang w:eastAsia="en-US"/>
        </w:rPr>
        <w:t>ii)</w:t>
      </w:r>
      <w:r w:rsidRPr="00106A2A">
        <w:rPr>
          <w:rFonts w:eastAsia="Calibri"/>
          <w:szCs w:val="22"/>
          <w:lang w:eastAsia="en-US"/>
        </w:rPr>
        <w:tab/>
        <w:t>дали се очаква мерките, предложени от държавата членка, да осигурят ефективен мониторинг и ефективно изпълнение на плана, включително на предвидения график, междинните цели и целевите стойности и свързаните тях показатели;</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1985" w:hanging="567"/>
        <w:rPr>
          <w:rFonts w:eastAsia="Calibri"/>
          <w:b/>
          <w:i/>
          <w:szCs w:val="22"/>
          <w:lang w:eastAsia="en-US"/>
        </w:rPr>
      </w:pPr>
      <w:r w:rsidRPr="00106A2A">
        <w:rPr>
          <w:rFonts w:eastAsia="Calibri"/>
          <w:szCs w:val="22"/>
          <w:lang w:eastAsia="en-US"/>
        </w:rPr>
        <w:t>iii)</w:t>
      </w:r>
      <w:r w:rsidRPr="00106A2A">
        <w:rPr>
          <w:rFonts w:eastAsia="Calibri"/>
          <w:szCs w:val="22"/>
          <w:lang w:eastAsia="en-US"/>
        </w:rPr>
        <w:tab/>
        <w:t xml:space="preserve">дали мерките и инвестициите, предложени от държавата членка, са съобразени и в съответствие с изискванията на Директивата на Европейския парламент и на Съвета относно енергийната ефективност (преработен текст), Директива (ЕС) 2018/2001, </w:t>
      </w:r>
      <w:r w:rsidRPr="00106A2A">
        <w:rPr>
          <w:rFonts w:eastAsia="Calibri"/>
          <w:b/>
          <w:i/>
          <w:szCs w:val="22"/>
          <w:lang w:eastAsia="en-US"/>
        </w:rPr>
        <w:t xml:space="preserve">Регламента на Европейския парламент и на Съвета за разгръщането на инфраструктура за алтернативни горива и за отмяна на </w:t>
      </w:r>
      <w:r w:rsidRPr="00106A2A">
        <w:rPr>
          <w:rFonts w:eastAsia="Calibri"/>
          <w:szCs w:val="22"/>
          <w:lang w:eastAsia="en-US"/>
        </w:rPr>
        <w:t xml:space="preserve">Директива 2014/94/ ЕС на Европейския парламент и на Съвета, Директива (ЕС) </w:t>
      </w:r>
      <w:r w:rsidRPr="00106A2A">
        <w:rPr>
          <w:rFonts w:eastAsia="Calibri"/>
          <w:b/>
          <w:i/>
          <w:szCs w:val="22"/>
          <w:lang w:eastAsia="en-US"/>
        </w:rPr>
        <w:t xml:space="preserve">2009/33 </w:t>
      </w:r>
      <w:r w:rsidRPr="00106A2A">
        <w:rPr>
          <w:rFonts w:eastAsia="Calibri"/>
          <w:szCs w:val="22"/>
          <w:lang w:eastAsia="en-US"/>
        </w:rPr>
        <w:t>на Европейския парламент и на Съвета</w:t>
      </w:r>
      <w:r w:rsidRPr="00106A2A">
        <w:rPr>
          <w:rFonts w:eastAsia="Calibri"/>
          <w:b/>
          <w:szCs w:val="22"/>
          <w:vertAlign w:val="superscript"/>
          <w:lang w:eastAsia="en-US"/>
        </w:rPr>
        <w:footnoteReference w:id="32"/>
      </w:r>
      <w:r w:rsidRPr="00106A2A">
        <w:rPr>
          <w:rFonts w:eastAsia="Calibri"/>
          <w:szCs w:val="22"/>
          <w:lang w:eastAsia="en-US"/>
        </w:rPr>
        <w:t xml:space="preserve"> и Директива 2010/31/ЕС</w:t>
      </w:r>
      <w:r w:rsidRPr="00106A2A">
        <w:rPr>
          <w:rFonts w:eastAsia="Calibri"/>
          <w:b/>
          <w:i/>
          <w:szCs w:val="22"/>
          <w:lang w:eastAsia="en-US"/>
        </w:rPr>
        <w:t>; и</w:t>
      </w:r>
    </w:p>
    <w:p w:rsidR="00106A2A" w:rsidRPr="00106A2A" w:rsidRDefault="00106A2A" w:rsidP="00106A2A">
      <w:pPr>
        <w:widowControl/>
        <w:spacing w:before="120" w:after="120" w:line="360" w:lineRule="auto"/>
        <w:ind w:left="1985" w:hanging="567"/>
        <w:rPr>
          <w:rFonts w:eastAsia="Calibri"/>
          <w:b/>
          <w:i/>
          <w:szCs w:val="22"/>
          <w:lang w:eastAsia="en-US"/>
        </w:rPr>
      </w:pPr>
      <w:r w:rsidRPr="00106A2A">
        <w:rPr>
          <w:rFonts w:eastAsia="Calibri"/>
          <w:b/>
          <w:i/>
          <w:szCs w:val="22"/>
          <w:lang w:eastAsia="en-US"/>
        </w:rPr>
        <w:t>iv)</w:t>
      </w:r>
      <w:r w:rsidRPr="00106A2A">
        <w:rPr>
          <w:rFonts w:eastAsia="Calibri"/>
          <w:b/>
          <w:i/>
          <w:szCs w:val="22"/>
          <w:lang w:eastAsia="en-US"/>
        </w:rPr>
        <w:tab/>
        <w:t>дали мерките и инвестициите, предложени от държавата членка, насърчават взаимното допълване, полезното взаимодействие, съгласуваността и последователността с инструментите на Съюза, посочени в член 6, параграф 3;</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br w:type="page"/>
        <w:t>в)</w:t>
      </w:r>
      <w:r w:rsidRPr="00106A2A">
        <w:rPr>
          <w:rFonts w:eastAsia="Calibri"/>
          <w:szCs w:val="22"/>
          <w:lang w:eastAsia="en-US"/>
        </w:rPr>
        <w:tab/>
        <w:t>за оценяване на ефикасността Комисията взема предвид следните критерии:</w:t>
      </w:r>
    </w:p>
    <w:p w:rsidR="00106A2A" w:rsidRPr="00106A2A" w:rsidRDefault="00106A2A" w:rsidP="00106A2A">
      <w:pPr>
        <w:widowControl/>
        <w:spacing w:before="120" w:after="120" w:line="360" w:lineRule="auto"/>
        <w:ind w:left="1985" w:hanging="567"/>
        <w:rPr>
          <w:rFonts w:eastAsia="Calibri"/>
          <w:szCs w:val="22"/>
          <w:lang w:eastAsia="en-US"/>
        </w:rPr>
      </w:pPr>
      <w:r w:rsidRPr="00106A2A">
        <w:rPr>
          <w:rFonts w:eastAsia="Calibri"/>
          <w:szCs w:val="22"/>
          <w:lang w:eastAsia="en-US"/>
        </w:rPr>
        <w:t>i)</w:t>
      </w:r>
      <w:r w:rsidRPr="00106A2A">
        <w:rPr>
          <w:rFonts w:eastAsia="Calibri"/>
          <w:szCs w:val="22"/>
          <w:lang w:eastAsia="en-US"/>
        </w:rPr>
        <w:tab/>
        <w:t>дали представената от държавата членка обосновка за размера на прогнозните общи разходи по плана е разумна и реалистична, дали съответства на принципа за разходна ефективност и дали е съизмерима с очакваното екологично и социално въздействие в държавата членка,</w:t>
      </w:r>
      <w:r w:rsidRPr="00106A2A">
        <w:rPr>
          <w:rFonts w:eastAsia="Calibri"/>
          <w:b/>
          <w:i/>
          <w:szCs w:val="22"/>
          <w:lang w:eastAsia="en-US"/>
        </w:rPr>
        <w:t xml:space="preserve"> като същевременно взема предвид националните особености, които биха могли да повлияят върху предвидените в плана разходи</w:t>
      </w:r>
      <w:r w:rsidRPr="00106A2A">
        <w:rPr>
          <w:rFonts w:eastAsia="Calibri"/>
          <w:szCs w:val="22"/>
          <w:lang w:eastAsia="en-US"/>
        </w:rPr>
        <w:t>;</w:t>
      </w:r>
    </w:p>
    <w:p w:rsidR="00106A2A" w:rsidRPr="00106A2A" w:rsidRDefault="00106A2A" w:rsidP="00106A2A">
      <w:pPr>
        <w:widowControl/>
        <w:spacing w:before="120" w:after="120" w:line="360" w:lineRule="auto"/>
        <w:ind w:left="1985" w:hanging="567"/>
        <w:rPr>
          <w:rFonts w:eastAsia="Calibri"/>
          <w:szCs w:val="22"/>
          <w:lang w:eastAsia="en-US"/>
        </w:rPr>
      </w:pPr>
      <w:r w:rsidRPr="00106A2A">
        <w:rPr>
          <w:rFonts w:eastAsia="Calibri"/>
          <w:szCs w:val="22"/>
          <w:lang w:eastAsia="en-US"/>
        </w:rPr>
        <w:t>ii)</w:t>
      </w:r>
      <w:r w:rsidRPr="00106A2A">
        <w:rPr>
          <w:rFonts w:eastAsia="Calibri"/>
          <w:szCs w:val="22"/>
          <w:lang w:eastAsia="en-US"/>
        </w:rPr>
        <w:tab/>
        <w:t xml:space="preserve">дали се очаква мерките, предложени от държавата членка, да предотвратяват, разкриват и поправят корупция, измами и конфликти на интереси при използването на </w:t>
      </w:r>
      <w:r w:rsidRPr="00106A2A">
        <w:rPr>
          <w:rFonts w:eastAsia="Calibri"/>
          <w:b/>
          <w:i/>
          <w:szCs w:val="22"/>
          <w:lang w:eastAsia="en-US"/>
        </w:rPr>
        <w:t>разпределените финансови средства</w:t>
      </w:r>
      <w:r w:rsidRPr="00106A2A">
        <w:rPr>
          <w:rFonts w:eastAsia="Calibri"/>
          <w:szCs w:val="22"/>
          <w:lang w:eastAsia="en-US"/>
        </w:rPr>
        <w:t xml:space="preserve"> по  линия на Фонда, включително мерките, които имат за цел избягване на двойно финансиране от Фонда и ▌ от други програми на Съюза;</w:t>
      </w:r>
    </w:p>
    <w:p w:rsidR="00106A2A" w:rsidRPr="00106A2A" w:rsidRDefault="00106A2A" w:rsidP="00106A2A">
      <w:pPr>
        <w:widowControl/>
        <w:spacing w:before="120" w:after="120" w:line="360" w:lineRule="auto"/>
        <w:ind w:left="1985" w:hanging="567"/>
        <w:rPr>
          <w:rFonts w:eastAsia="Calibri"/>
          <w:szCs w:val="22"/>
          <w:lang w:eastAsia="en-US"/>
        </w:rPr>
      </w:pPr>
      <w:r w:rsidRPr="00106A2A">
        <w:rPr>
          <w:rFonts w:eastAsia="Calibri"/>
          <w:szCs w:val="22"/>
          <w:lang w:eastAsia="en-US"/>
        </w:rPr>
        <w:t>iii)</w:t>
      </w:r>
      <w:r w:rsidRPr="00106A2A">
        <w:rPr>
          <w:rFonts w:eastAsia="Calibri"/>
          <w:szCs w:val="22"/>
          <w:lang w:eastAsia="en-US"/>
        </w:rPr>
        <w:tab/>
        <w:t>дали предложените от държавата членка междинни цели и целеви стойности са ефикасни предвид обхвата, целите и допустимите дейности по линия на Фонда;</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t>г)</w:t>
      </w:r>
      <w:r w:rsidRPr="00106A2A">
        <w:rPr>
          <w:rFonts w:eastAsia="Calibri"/>
          <w:szCs w:val="22"/>
          <w:lang w:eastAsia="en-US"/>
        </w:rPr>
        <w:tab/>
        <w:t>▌за оценяване на съгласуваността Комисията взема под внимание дали планът съдържа мерки и инвестиции, които представляват съгласувани действия.</w:t>
      </w:r>
    </w:p>
    <w:p w:rsidR="00106A2A" w:rsidRPr="00106A2A" w:rsidRDefault="00106A2A" w:rsidP="00106A2A">
      <w:pPr>
        <w:keepNext/>
        <w:widowControl/>
        <w:spacing w:before="360" w:after="120" w:line="360" w:lineRule="auto"/>
        <w:jc w:val="center"/>
        <w:rPr>
          <w:rFonts w:eastAsia="Calibri"/>
          <w:szCs w:val="22"/>
          <w:lang w:eastAsia="en-US"/>
        </w:rPr>
      </w:pPr>
      <w:r w:rsidRPr="00106A2A">
        <w:rPr>
          <w:rFonts w:eastAsia="Calibri"/>
          <w:szCs w:val="22"/>
          <w:lang w:eastAsia="en-US"/>
        </w:rPr>
        <w:br w:type="page"/>
        <w:t>Член 17</w:t>
      </w:r>
      <w:r w:rsidRPr="00106A2A">
        <w:rPr>
          <w:rFonts w:eastAsia="Calibri"/>
          <w:szCs w:val="22"/>
          <w:lang w:eastAsia="en-US"/>
        </w:rPr>
        <w:br/>
        <w:t>Решение на Комисията</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1.</w:t>
      </w:r>
      <w:r w:rsidRPr="00106A2A">
        <w:rPr>
          <w:rFonts w:eastAsia="Calibri"/>
          <w:szCs w:val="22"/>
          <w:lang w:eastAsia="en-US"/>
        </w:rPr>
        <w:tab/>
        <w:t>Въз основа на оценката</w:t>
      </w:r>
      <w:r w:rsidRPr="00106A2A">
        <w:rPr>
          <w:rFonts w:eastAsia="Calibri"/>
          <w:b/>
          <w:i/>
          <w:szCs w:val="22"/>
          <w:lang w:eastAsia="en-US"/>
        </w:rPr>
        <w:t>, извършена</w:t>
      </w:r>
      <w:r w:rsidRPr="00106A2A">
        <w:rPr>
          <w:rFonts w:eastAsia="Calibri"/>
          <w:szCs w:val="22"/>
          <w:lang w:eastAsia="en-US"/>
        </w:rPr>
        <w:t xml:space="preserve"> в съответствие с член 16, Комисията взема решение относно плана на всяка държава членка посредством акт за изпълнение </w:t>
      </w:r>
      <w:r w:rsidRPr="00106A2A">
        <w:rPr>
          <w:rFonts w:eastAsia="Calibri"/>
          <w:b/>
          <w:i/>
          <w:szCs w:val="22"/>
          <w:lang w:eastAsia="en-US"/>
        </w:rPr>
        <w:t>не по-късно от пет</w:t>
      </w:r>
      <w:r w:rsidRPr="00106A2A">
        <w:rPr>
          <w:rFonts w:eastAsia="Calibri"/>
          <w:szCs w:val="22"/>
          <w:lang w:eastAsia="en-US"/>
        </w:rPr>
        <w:t xml:space="preserve"> месеца от датата на представянето на този план съгласно член 4, параграф 1. ▌</w:t>
      </w:r>
    </w:p>
    <w:p w:rsidR="00106A2A" w:rsidRPr="00106A2A" w:rsidRDefault="00106A2A" w:rsidP="00106A2A">
      <w:pPr>
        <w:widowControl/>
        <w:spacing w:before="120" w:after="120" w:line="360" w:lineRule="auto"/>
        <w:ind w:left="720" w:hanging="720"/>
        <w:rPr>
          <w:rFonts w:eastAsia="Calibri"/>
          <w:szCs w:val="22"/>
          <w:lang w:eastAsia="en-US"/>
        </w:rPr>
      </w:pPr>
      <w:r w:rsidRPr="00106A2A">
        <w:rPr>
          <w:rFonts w:eastAsia="Calibri"/>
          <w:szCs w:val="22"/>
          <w:lang w:eastAsia="en-US"/>
        </w:rPr>
        <w:t>2.</w:t>
      </w:r>
      <w:r w:rsidRPr="00106A2A">
        <w:rPr>
          <w:rFonts w:eastAsia="Calibri"/>
          <w:szCs w:val="22"/>
          <w:lang w:eastAsia="en-US"/>
        </w:rPr>
        <w:tab/>
        <w:t>Когато Комисията даде положителна оценка</w:t>
      </w:r>
      <w:r w:rsidRPr="00106A2A">
        <w:rPr>
          <w:rFonts w:eastAsia="Calibri"/>
          <w:b/>
          <w:i/>
          <w:szCs w:val="22"/>
          <w:lang w:eastAsia="en-US"/>
        </w:rPr>
        <w:t xml:space="preserve"> на даден план, в акта за изпълнение, посочен в параграф 1</w:t>
      </w:r>
      <w:r w:rsidRPr="00106A2A">
        <w:rPr>
          <w:rFonts w:eastAsia="Calibri"/>
          <w:szCs w:val="22"/>
          <w:lang w:eastAsia="en-US"/>
        </w:rPr>
        <w:t>, се определят:</w:t>
      </w:r>
    </w:p>
    <w:p w:rsidR="00106A2A" w:rsidRPr="00106A2A" w:rsidRDefault="00106A2A" w:rsidP="00106A2A">
      <w:pPr>
        <w:widowControl/>
        <w:spacing w:before="120" w:after="120" w:line="360" w:lineRule="auto"/>
        <w:ind w:left="1701" w:hanging="851"/>
        <w:rPr>
          <w:rFonts w:eastAsia="Calibri"/>
          <w:szCs w:val="22"/>
          <w:lang w:eastAsia="en-US"/>
        </w:rPr>
      </w:pPr>
      <w:r w:rsidRPr="00106A2A">
        <w:rPr>
          <w:rFonts w:eastAsia="Calibri"/>
          <w:szCs w:val="22"/>
          <w:lang w:eastAsia="en-US"/>
        </w:rPr>
        <w:t>a)</w:t>
      </w:r>
      <w:r w:rsidRPr="00106A2A">
        <w:rPr>
          <w:rFonts w:eastAsia="Calibri"/>
          <w:szCs w:val="22"/>
          <w:lang w:eastAsia="en-US"/>
        </w:rPr>
        <w:tab/>
        <w:t>мерките и инвестициите, които държавата членка ще осъществи, размерът на прогнозните общи разходи по плана и междинните цели и целевите стойности;</w:t>
      </w:r>
    </w:p>
    <w:p w:rsidR="00106A2A" w:rsidRPr="00106A2A" w:rsidRDefault="00106A2A" w:rsidP="00106A2A">
      <w:pPr>
        <w:widowControl/>
        <w:spacing w:before="120" w:after="120" w:line="360" w:lineRule="auto"/>
        <w:ind w:left="1701" w:hanging="851"/>
        <w:rPr>
          <w:rFonts w:eastAsia="Calibri"/>
          <w:szCs w:val="22"/>
          <w:lang w:eastAsia="en-US"/>
        </w:rPr>
      </w:pPr>
      <w:r w:rsidRPr="00106A2A">
        <w:rPr>
          <w:rFonts w:eastAsia="Calibri"/>
          <w:szCs w:val="22"/>
          <w:lang w:eastAsia="en-US"/>
        </w:rPr>
        <w:t>б)</w:t>
      </w:r>
      <w:r w:rsidRPr="00106A2A">
        <w:rPr>
          <w:rFonts w:eastAsia="Calibri"/>
          <w:szCs w:val="22"/>
          <w:lang w:eastAsia="en-US"/>
        </w:rPr>
        <w:tab/>
      </w:r>
      <w:r w:rsidRPr="00106A2A">
        <w:rPr>
          <w:rFonts w:eastAsia="Calibri"/>
          <w:b/>
          <w:i/>
          <w:szCs w:val="22"/>
          <w:lang w:eastAsia="en-US"/>
        </w:rPr>
        <w:t xml:space="preserve">максималният размер на </w:t>
      </w:r>
      <w:r w:rsidRPr="00106A2A">
        <w:rPr>
          <w:rFonts w:eastAsia="Calibri"/>
          <w:szCs w:val="22"/>
          <w:lang w:eastAsia="en-US"/>
        </w:rPr>
        <w:t xml:space="preserve">разпределените финансови средства съгласно </w:t>
      </w:r>
      <w:r w:rsidRPr="00106A2A">
        <w:rPr>
          <w:rFonts w:eastAsia="Calibri"/>
          <w:b/>
          <w:i/>
          <w:szCs w:val="22"/>
          <w:lang w:eastAsia="en-US"/>
        </w:rPr>
        <w:t>член 14, параграф 1</w:t>
      </w:r>
      <w:r w:rsidRPr="00106A2A">
        <w:rPr>
          <w:rFonts w:eastAsia="Calibri"/>
          <w:szCs w:val="22"/>
          <w:lang w:eastAsia="en-US"/>
        </w:rPr>
        <w:t>, които се изплащат на вноски</w:t>
      </w:r>
      <w:r w:rsidRPr="00106A2A">
        <w:rPr>
          <w:rFonts w:eastAsia="Calibri"/>
          <w:b/>
          <w:i/>
          <w:szCs w:val="22"/>
          <w:lang w:eastAsia="en-US"/>
        </w:rPr>
        <w:t xml:space="preserve"> съгласно член 20</w:t>
      </w:r>
      <w:r w:rsidRPr="00106A2A">
        <w:rPr>
          <w:rFonts w:eastAsia="Calibri"/>
          <w:szCs w:val="22"/>
          <w:lang w:eastAsia="en-US"/>
        </w:rPr>
        <w:t>, след като държавата членка постигне удовлетворително съответните междинни цели и целеви стойности, определени във връзка с изпълнението на плана ▌ ;</w:t>
      </w:r>
    </w:p>
    <w:p w:rsidR="00106A2A" w:rsidRPr="00106A2A" w:rsidRDefault="00106A2A" w:rsidP="00106A2A">
      <w:pPr>
        <w:widowControl/>
        <w:spacing w:before="120" w:after="120" w:line="360" w:lineRule="auto"/>
        <w:ind w:left="1701" w:hanging="850"/>
        <w:rPr>
          <w:rFonts w:eastAsia="Calibri"/>
          <w:szCs w:val="22"/>
          <w:lang w:eastAsia="en-US"/>
        </w:rPr>
      </w:pPr>
      <w:r w:rsidRPr="00106A2A">
        <w:rPr>
          <w:rFonts w:eastAsia="Calibri"/>
          <w:szCs w:val="22"/>
          <w:lang w:eastAsia="en-US"/>
        </w:rPr>
        <w:t>в)</w:t>
      </w:r>
      <w:r w:rsidRPr="00106A2A">
        <w:rPr>
          <w:rFonts w:eastAsia="Calibri"/>
          <w:szCs w:val="22"/>
          <w:lang w:eastAsia="en-US"/>
        </w:rPr>
        <w:tab/>
        <w:t>националното участие;</w:t>
      </w:r>
    </w:p>
    <w:p w:rsidR="00106A2A" w:rsidRPr="00106A2A" w:rsidRDefault="00106A2A" w:rsidP="00106A2A">
      <w:pPr>
        <w:widowControl/>
        <w:spacing w:before="120" w:after="120" w:line="360" w:lineRule="auto"/>
        <w:ind w:left="1701" w:hanging="851"/>
        <w:rPr>
          <w:rFonts w:eastAsia="Calibri"/>
          <w:szCs w:val="22"/>
          <w:lang w:eastAsia="en-US"/>
        </w:rPr>
      </w:pPr>
      <w:r w:rsidRPr="00106A2A">
        <w:rPr>
          <w:rFonts w:eastAsia="Calibri"/>
          <w:szCs w:val="22"/>
          <w:lang w:eastAsia="en-US"/>
        </w:rPr>
        <w:t>г)</w:t>
      </w:r>
      <w:r w:rsidRPr="00106A2A">
        <w:rPr>
          <w:rFonts w:eastAsia="Calibri"/>
          <w:szCs w:val="22"/>
          <w:lang w:eastAsia="en-US"/>
        </w:rPr>
        <w:tab/>
        <w:t>мерките и графикът за мониторинг и изпълнение на плана, включително, когато е приложимо, необходимите мерки за спазване на член 21;</w:t>
      </w:r>
    </w:p>
    <w:p w:rsidR="00106A2A" w:rsidRPr="00106A2A" w:rsidRDefault="00106A2A" w:rsidP="00106A2A">
      <w:pPr>
        <w:widowControl/>
        <w:spacing w:before="120" w:after="120" w:line="360" w:lineRule="auto"/>
        <w:ind w:left="1701" w:hanging="851"/>
        <w:rPr>
          <w:rFonts w:eastAsia="Calibri"/>
          <w:szCs w:val="22"/>
          <w:lang w:eastAsia="en-US"/>
        </w:rPr>
      </w:pPr>
      <w:r w:rsidRPr="00106A2A">
        <w:rPr>
          <w:rFonts w:eastAsia="Calibri"/>
          <w:szCs w:val="22"/>
          <w:lang w:eastAsia="en-US"/>
        </w:rPr>
        <w:t>д)</w:t>
      </w:r>
      <w:r w:rsidRPr="00106A2A">
        <w:rPr>
          <w:rFonts w:eastAsia="Calibri"/>
          <w:szCs w:val="22"/>
          <w:lang w:eastAsia="en-US"/>
        </w:rPr>
        <w:tab/>
        <w:t>съответните показатели във връзка с постигането на предвидените междинни цели и целеви стойности;</w:t>
      </w:r>
      <w:r w:rsidRPr="00106A2A">
        <w:rPr>
          <w:rFonts w:eastAsia="Calibri"/>
          <w:b/>
          <w:i/>
          <w:szCs w:val="22"/>
          <w:lang w:eastAsia="en-US"/>
        </w:rPr>
        <w:t xml:space="preserve"> и</w:t>
      </w:r>
    </w:p>
    <w:p w:rsidR="00106A2A" w:rsidRPr="00106A2A" w:rsidRDefault="00106A2A" w:rsidP="00106A2A">
      <w:pPr>
        <w:widowControl/>
        <w:spacing w:before="120" w:after="120" w:line="360" w:lineRule="auto"/>
        <w:ind w:left="1701" w:hanging="851"/>
        <w:rPr>
          <w:rFonts w:eastAsia="Calibri"/>
          <w:szCs w:val="22"/>
          <w:lang w:eastAsia="en-US"/>
        </w:rPr>
      </w:pPr>
      <w:r w:rsidRPr="00106A2A">
        <w:rPr>
          <w:rFonts w:eastAsia="Calibri"/>
          <w:szCs w:val="22"/>
          <w:lang w:eastAsia="en-US"/>
        </w:rPr>
        <w:t>е)</w:t>
      </w:r>
      <w:r w:rsidRPr="00106A2A">
        <w:rPr>
          <w:rFonts w:eastAsia="Calibri"/>
          <w:szCs w:val="22"/>
          <w:lang w:eastAsia="en-US"/>
        </w:rPr>
        <w:tab/>
        <w:t>редът и условията за предоставяне на ▌ достъп на Комисията до съответните основни данни.</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br w:type="page"/>
        <w:t>3.</w:t>
      </w:r>
      <w:r w:rsidRPr="00106A2A">
        <w:rPr>
          <w:rFonts w:eastAsia="Calibri"/>
          <w:szCs w:val="22"/>
          <w:lang w:eastAsia="en-US"/>
        </w:rPr>
        <w:tab/>
      </w:r>
      <w:r w:rsidRPr="00106A2A">
        <w:rPr>
          <w:rFonts w:eastAsia="Calibri"/>
          <w:b/>
          <w:i/>
          <w:szCs w:val="22"/>
          <w:lang w:eastAsia="en-US"/>
        </w:rPr>
        <w:t xml:space="preserve">Максималният размер на </w:t>
      </w:r>
      <w:r w:rsidRPr="00106A2A">
        <w:rPr>
          <w:rFonts w:eastAsia="Calibri"/>
          <w:szCs w:val="22"/>
          <w:lang w:eastAsia="en-US"/>
        </w:rPr>
        <w:t>разпределените финансови средства, посочен в параграф 2, буква б) от настоящия член, се определя въз основа на прогнозните общи разходи за плана, предложени от държавата членка и оценени съгласно критериите, посочени в член 16, параграф 3. ▌</w:t>
      </w:r>
    </w:p>
    <w:p w:rsidR="00106A2A" w:rsidRPr="00106A2A" w:rsidRDefault="00106A2A" w:rsidP="00106A2A">
      <w:pPr>
        <w:widowControl/>
        <w:spacing w:before="120" w:after="120" w:line="360" w:lineRule="auto"/>
        <w:ind w:left="851" w:hanging="11"/>
        <w:rPr>
          <w:rFonts w:eastAsia="Calibri"/>
          <w:szCs w:val="22"/>
          <w:lang w:eastAsia="en-US"/>
        </w:rPr>
      </w:pPr>
      <w:r w:rsidRPr="00106A2A">
        <w:rPr>
          <w:rFonts w:eastAsia="Calibri"/>
          <w:b/>
          <w:i/>
          <w:szCs w:val="22"/>
          <w:lang w:eastAsia="en-US"/>
        </w:rPr>
        <w:t>Максималният</w:t>
      </w:r>
      <w:r w:rsidRPr="00106A2A">
        <w:rPr>
          <w:rFonts w:eastAsia="Calibri"/>
          <w:szCs w:val="22"/>
          <w:lang w:eastAsia="en-US"/>
        </w:rPr>
        <w:t xml:space="preserve"> размер на разпределените финансови средства, посочен в параграф 2, буква б) от настоящия член, се определя, както следва:</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t>a)</w:t>
      </w:r>
      <w:r w:rsidRPr="00106A2A">
        <w:rPr>
          <w:rFonts w:eastAsia="Calibri"/>
          <w:szCs w:val="22"/>
          <w:lang w:eastAsia="en-US"/>
        </w:rPr>
        <w:tab/>
        <w:t xml:space="preserve">когато планът отговаря задоволително на критериите, определени в член 16, параграф 3, и размерът на прогнозните общи разходи за </w:t>
      </w:r>
      <w:r w:rsidRPr="00106A2A">
        <w:rPr>
          <w:rFonts w:eastAsia="Calibri"/>
          <w:b/>
          <w:i/>
          <w:szCs w:val="22"/>
          <w:lang w:eastAsia="en-US"/>
        </w:rPr>
        <w:t>плана</w:t>
      </w:r>
      <w:r w:rsidRPr="00106A2A">
        <w:rPr>
          <w:rFonts w:eastAsia="Calibri"/>
          <w:szCs w:val="22"/>
          <w:lang w:eastAsia="en-US"/>
        </w:rPr>
        <w:t xml:space="preserve"> след приспадане на националното участие е по-голям или равен на максималния размер на разпределените финансови средства за тази държава членка съгласно член 14, параграф 1, финансовите средства, разпределени на въпросната държава членка, са равни на общия максимален размер на разпределените финансови средства, посочен в </w:t>
      </w:r>
      <w:r w:rsidRPr="00106A2A">
        <w:rPr>
          <w:rFonts w:eastAsia="Calibri"/>
          <w:b/>
          <w:i/>
          <w:szCs w:val="22"/>
          <w:lang w:eastAsia="en-US"/>
        </w:rPr>
        <w:t>член 14, параграф 1</w:t>
      </w:r>
      <w:r w:rsidRPr="00106A2A">
        <w:rPr>
          <w:rFonts w:eastAsia="Calibri"/>
          <w:szCs w:val="22"/>
          <w:lang w:eastAsia="en-US"/>
        </w:rPr>
        <w:t>;</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t>б)</w:t>
      </w:r>
      <w:r w:rsidRPr="00106A2A">
        <w:rPr>
          <w:rFonts w:eastAsia="Calibri"/>
          <w:szCs w:val="22"/>
          <w:lang w:eastAsia="en-US"/>
        </w:rPr>
        <w:tab/>
        <w:t xml:space="preserve">когато планът отговаря задоволително на критериите, определени в член 16, параграф 3, и размерът на прогнозните общи разходи за </w:t>
      </w:r>
      <w:r w:rsidRPr="00106A2A">
        <w:rPr>
          <w:rFonts w:eastAsia="Calibri"/>
          <w:b/>
          <w:i/>
          <w:szCs w:val="22"/>
          <w:lang w:eastAsia="en-US"/>
        </w:rPr>
        <w:t>плана</w:t>
      </w:r>
      <w:r w:rsidRPr="00106A2A">
        <w:rPr>
          <w:rFonts w:eastAsia="Calibri"/>
          <w:szCs w:val="22"/>
          <w:lang w:eastAsia="en-US"/>
        </w:rPr>
        <w:t xml:space="preserve"> след приспадане на националното участие е по-малък от максималния размер на разпределените финансови средства за тази държава членка съгласно член 14, параграф 1, финансовите средства, разпределени на въпросната държава членка, са равни на сумата на прогнозните общи разходи за </w:t>
      </w:r>
      <w:r w:rsidRPr="00106A2A">
        <w:rPr>
          <w:rFonts w:eastAsia="Calibri"/>
          <w:b/>
          <w:i/>
          <w:szCs w:val="22"/>
          <w:lang w:eastAsia="en-US"/>
        </w:rPr>
        <w:t>плана</w:t>
      </w:r>
      <w:r w:rsidRPr="00106A2A">
        <w:rPr>
          <w:rFonts w:eastAsia="Calibri"/>
          <w:szCs w:val="22"/>
          <w:lang w:eastAsia="en-US"/>
        </w:rPr>
        <w:t xml:space="preserve"> минус националното участие;</w:t>
      </w:r>
    </w:p>
    <w:p w:rsidR="00106A2A" w:rsidRPr="00106A2A" w:rsidRDefault="00106A2A" w:rsidP="00106A2A">
      <w:pPr>
        <w:widowControl/>
        <w:spacing w:before="120" w:after="120" w:line="360" w:lineRule="auto"/>
        <w:ind w:left="1418" w:hanging="567"/>
        <w:rPr>
          <w:rFonts w:eastAsia="Calibri"/>
          <w:b/>
          <w:i/>
          <w:szCs w:val="22"/>
          <w:lang w:eastAsia="en-US"/>
        </w:rPr>
      </w:pPr>
      <w:r w:rsidRPr="00106A2A">
        <w:rPr>
          <w:rFonts w:eastAsia="Calibri"/>
          <w:szCs w:val="22"/>
          <w:lang w:eastAsia="en-US"/>
        </w:rPr>
        <w:t>в)</w:t>
      </w:r>
      <w:r w:rsidRPr="00106A2A">
        <w:rPr>
          <w:rFonts w:eastAsia="Calibri"/>
          <w:szCs w:val="22"/>
          <w:lang w:eastAsia="en-US"/>
        </w:rPr>
        <w:tab/>
        <w:t xml:space="preserve">когато планът отговаря задоволително на критериите, определени в член 16, параграф 3, но при оценката са установени слабости в системите за вътрешен контрол, Комисията може да изиска </w:t>
      </w:r>
      <w:r w:rsidRPr="00106A2A">
        <w:rPr>
          <w:rFonts w:eastAsia="Calibri"/>
          <w:b/>
          <w:i/>
          <w:szCs w:val="22"/>
          <w:lang w:eastAsia="en-US"/>
        </w:rPr>
        <w:t>в плана да бъдат включени допълнителни мерки за отстраняване на тези слабости и те да бъдат изпълнени от държавата членка</w:t>
      </w:r>
      <w:r w:rsidRPr="00106A2A">
        <w:rPr>
          <w:rFonts w:eastAsia="Calibri"/>
          <w:szCs w:val="22"/>
          <w:lang w:eastAsia="en-US"/>
        </w:rPr>
        <w:t xml:space="preserve"> преди първото плащане;</w:t>
      </w:r>
    </w:p>
    <w:p w:rsidR="00106A2A" w:rsidRPr="00106A2A" w:rsidRDefault="00106A2A" w:rsidP="00106A2A">
      <w:pPr>
        <w:widowControl/>
        <w:spacing w:before="120" w:after="120" w:line="360" w:lineRule="auto"/>
        <w:rPr>
          <w:rFonts w:eastAsia="Calibri"/>
          <w:szCs w:val="22"/>
          <w:lang w:eastAsia="en-US"/>
        </w:rPr>
      </w:pPr>
      <w:r w:rsidRPr="00106A2A">
        <w:rPr>
          <w:rFonts w:eastAsia="Calibri"/>
          <w:b/>
          <w:i/>
          <w:szCs w:val="22"/>
          <w:lang w:eastAsia="en-US"/>
        </w:rPr>
        <w:br w:type="page"/>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t>г)</w:t>
      </w:r>
      <w:r w:rsidRPr="00106A2A">
        <w:rPr>
          <w:rFonts w:eastAsia="Calibri"/>
          <w:szCs w:val="22"/>
          <w:lang w:eastAsia="en-US"/>
        </w:rPr>
        <w:tab/>
        <w:t>когато планът не отговаря задоволително на критериите, определени в член 16, параграф 3, за държавата членка не се разпределят финансови средства.</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4.</w:t>
      </w:r>
      <w:r w:rsidRPr="00106A2A">
        <w:rPr>
          <w:rFonts w:eastAsia="Calibri"/>
          <w:szCs w:val="22"/>
          <w:lang w:eastAsia="en-US"/>
        </w:rPr>
        <w:tab/>
        <w:t>Когато Комисията дава отрицателна оценка на даден план, посоченото в параграф 1 решение включва причините за отрицателната оценка. Държавата членка представя плана отново, след като е взела под внимание оценката на Комисията.</w:t>
      </w:r>
    </w:p>
    <w:p w:rsidR="00106A2A" w:rsidRPr="00106A2A" w:rsidRDefault="00106A2A" w:rsidP="00106A2A">
      <w:pPr>
        <w:keepNext/>
        <w:widowControl/>
        <w:spacing w:before="360" w:after="120" w:line="360" w:lineRule="auto"/>
        <w:jc w:val="center"/>
        <w:rPr>
          <w:rFonts w:eastAsia="Calibri"/>
          <w:szCs w:val="22"/>
          <w:lang w:eastAsia="en-US"/>
        </w:rPr>
      </w:pPr>
      <w:r w:rsidRPr="00106A2A">
        <w:rPr>
          <w:rFonts w:eastAsia="Calibri"/>
          <w:szCs w:val="22"/>
          <w:lang w:eastAsia="en-US"/>
        </w:rPr>
        <w:t>Член 18</w:t>
      </w:r>
      <w:r w:rsidRPr="00106A2A">
        <w:rPr>
          <w:rFonts w:eastAsia="Calibri"/>
          <w:szCs w:val="22"/>
          <w:lang w:eastAsia="en-US"/>
        </w:rPr>
        <w:br/>
        <w:t>Изменение на социалните планове за климата</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1.</w:t>
      </w:r>
      <w:r w:rsidRPr="00106A2A">
        <w:rPr>
          <w:rFonts w:eastAsia="Calibri"/>
          <w:szCs w:val="22"/>
          <w:lang w:eastAsia="en-US"/>
        </w:rPr>
        <w:tab/>
        <w:t xml:space="preserve">Когато даден план вече не може да бъде изпълнен, включително съответните междинни цели и целеви стойности, </w:t>
      </w:r>
      <w:r w:rsidRPr="00106A2A">
        <w:rPr>
          <w:rFonts w:eastAsia="Calibri"/>
          <w:b/>
          <w:i/>
          <w:szCs w:val="22"/>
          <w:lang w:eastAsia="en-US"/>
        </w:rPr>
        <w:t>или изцяло или частично се нуждае от значителни корекции</w:t>
      </w:r>
      <w:r w:rsidRPr="00106A2A">
        <w:rPr>
          <w:rFonts w:eastAsia="Calibri"/>
          <w:szCs w:val="22"/>
          <w:lang w:eastAsia="en-US"/>
        </w:rPr>
        <w:t xml:space="preserve"> от държава членка поради обективни обстоятелства, по-специално поради действителните преки последици от </w:t>
      </w:r>
      <w:r w:rsidRPr="00106A2A">
        <w:rPr>
          <w:rFonts w:eastAsia="Calibri"/>
          <w:b/>
          <w:i/>
          <w:szCs w:val="22"/>
          <w:lang w:eastAsia="en-US"/>
        </w:rPr>
        <w:t>включването на емисиите на парникови газове от</w:t>
      </w:r>
      <w:r w:rsidRPr="00106A2A">
        <w:rPr>
          <w:rFonts w:eastAsia="Calibri"/>
          <w:szCs w:val="22"/>
          <w:lang w:eastAsia="en-US"/>
        </w:rPr>
        <w:t xml:space="preserve"> сградите и автомобилния транспорт </w:t>
      </w:r>
      <w:r w:rsidRPr="00106A2A">
        <w:rPr>
          <w:rFonts w:eastAsia="Calibri"/>
          <w:b/>
          <w:i/>
          <w:szCs w:val="22"/>
          <w:lang w:eastAsia="en-US"/>
        </w:rPr>
        <w:t>в приложното поле на</w:t>
      </w:r>
      <w:r w:rsidRPr="00106A2A">
        <w:rPr>
          <w:rFonts w:eastAsia="Calibri"/>
          <w:szCs w:val="22"/>
          <w:lang w:eastAsia="en-US"/>
        </w:rPr>
        <w:t xml:space="preserve"> Директива 2003/87/ЕО, съответната държава членка </w:t>
      </w:r>
      <w:r w:rsidRPr="00106A2A">
        <w:rPr>
          <w:rFonts w:eastAsia="Calibri"/>
          <w:b/>
          <w:i/>
          <w:szCs w:val="22"/>
          <w:lang w:eastAsia="en-US"/>
        </w:rPr>
        <w:t>представя</w:t>
      </w:r>
      <w:r w:rsidRPr="00106A2A">
        <w:rPr>
          <w:rFonts w:eastAsia="Calibri"/>
          <w:szCs w:val="22"/>
          <w:lang w:eastAsia="en-US"/>
        </w:rPr>
        <w:t xml:space="preserve"> на Комисията изменен план, за да включи необходимите и надлежно обосновани промени. Държавите членки може да поискат техническа подкрепа </w:t>
      </w:r>
      <w:r w:rsidRPr="00106A2A">
        <w:rPr>
          <w:rFonts w:eastAsia="Calibri"/>
          <w:b/>
          <w:i/>
          <w:szCs w:val="22"/>
          <w:lang w:eastAsia="en-US"/>
        </w:rPr>
        <w:t>в съответствие с член 11, параграф 4</w:t>
      </w:r>
      <w:r w:rsidRPr="00106A2A">
        <w:rPr>
          <w:rFonts w:eastAsia="Calibri"/>
          <w:szCs w:val="22"/>
          <w:lang w:eastAsia="en-US"/>
        </w:rPr>
        <w:t xml:space="preserve"> за изготвянето на изменения план.</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851" w:hanging="851"/>
        <w:jc w:val="both"/>
        <w:rPr>
          <w:rFonts w:eastAsia="Calibri"/>
          <w:szCs w:val="22"/>
          <w:lang w:eastAsia="en-US"/>
        </w:rPr>
      </w:pPr>
      <w:r w:rsidRPr="00106A2A">
        <w:rPr>
          <w:rFonts w:eastAsia="Calibri"/>
          <w:szCs w:val="22"/>
          <w:lang w:eastAsia="en-US"/>
        </w:rPr>
        <w:t>2.</w:t>
      </w:r>
      <w:r w:rsidRPr="00106A2A">
        <w:rPr>
          <w:rFonts w:eastAsia="Calibri"/>
          <w:szCs w:val="22"/>
          <w:lang w:eastAsia="en-US"/>
        </w:rPr>
        <w:tab/>
        <w:t>Комисията прави оценка на изменения план в съответствие с член 16.</w:t>
      </w:r>
    </w:p>
    <w:p w:rsidR="00106A2A" w:rsidRPr="00106A2A" w:rsidRDefault="00106A2A" w:rsidP="00106A2A">
      <w:pPr>
        <w:widowControl/>
        <w:spacing w:before="120" w:after="120" w:line="360" w:lineRule="auto"/>
        <w:ind w:left="851" w:hanging="851"/>
        <w:rPr>
          <w:rFonts w:eastAsia="Calibri"/>
          <w:b/>
          <w:i/>
          <w:szCs w:val="22"/>
          <w:lang w:eastAsia="en-US"/>
        </w:rPr>
      </w:pPr>
      <w:r w:rsidRPr="00106A2A">
        <w:rPr>
          <w:rFonts w:eastAsia="Calibri"/>
          <w:szCs w:val="22"/>
          <w:lang w:eastAsia="en-US"/>
        </w:rPr>
        <w:t>3.</w:t>
      </w:r>
      <w:r w:rsidRPr="00106A2A">
        <w:rPr>
          <w:rFonts w:eastAsia="Calibri"/>
          <w:szCs w:val="22"/>
          <w:lang w:eastAsia="en-US"/>
        </w:rPr>
        <w:tab/>
        <w:t xml:space="preserve">Когато Комисията дава положителна оценка на изменения план, в съответствие с член 17, параграф 1 тя приема </w:t>
      </w:r>
      <w:r w:rsidRPr="00106A2A">
        <w:rPr>
          <w:rFonts w:eastAsia="Calibri"/>
          <w:b/>
          <w:i/>
          <w:szCs w:val="22"/>
          <w:lang w:eastAsia="en-US"/>
        </w:rPr>
        <w:t>решение, в което се излагат причините за положителната оценка, посредством акт за изпълнение</w:t>
      </w:r>
      <w:r w:rsidRPr="00106A2A">
        <w:rPr>
          <w:rFonts w:eastAsia="Calibri"/>
          <w:szCs w:val="22"/>
          <w:lang w:eastAsia="en-US"/>
        </w:rPr>
        <w:t>.</w:t>
      </w:r>
      <w:r w:rsidRPr="00106A2A">
        <w:rPr>
          <w:rFonts w:eastAsia="Calibri"/>
          <w:b/>
          <w:i/>
          <w:szCs w:val="22"/>
          <w:lang w:eastAsia="en-US"/>
        </w:rPr>
        <w:t xml:space="preserve"> Чрез дерогация от член 17, параграф 1 Комисията приема решението по настоящия параграф в срок от три месеца от датата на представяне на изменения план от съответната държава членка.</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4.</w:t>
      </w:r>
      <w:r w:rsidRPr="00106A2A">
        <w:rPr>
          <w:rFonts w:eastAsia="Calibri"/>
          <w:szCs w:val="22"/>
          <w:lang w:eastAsia="en-US"/>
        </w:rPr>
        <w:tab/>
        <w:t>Когато Комисията дава отрицателна оценка на изменения план, тя отхвърля изменения план в посочения в параграф 3 срок, след като е предоставила на съответната държава членка възможност да представи своите коментари в срок от три месеца от датата на съобщението за оценката на Комисията за изменения план.</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5.</w:t>
      </w:r>
      <w:r w:rsidRPr="00106A2A">
        <w:rPr>
          <w:rFonts w:eastAsia="Calibri"/>
          <w:szCs w:val="22"/>
          <w:lang w:eastAsia="en-US"/>
        </w:rPr>
        <w:tab/>
        <w:t xml:space="preserve">До 15 март </w:t>
      </w:r>
      <w:r w:rsidRPr="00106A2A">
        <w:rPr>
          <w:rFonts w:eastAsia="Calibri"/>
          <w:b/>
          <w:i/>
          <w:szCs w:val="22"/>
          <w:lang w:eastAsia="en-US"/>
        </w:rPr>
        <w:t>2029 г</w:t>
      </w:r>
      <w:r w:rsidRPr="00106A2A">
        <w:rPr>
          <w:rFonts w:eastAsia="Calibri"/>
          <w:szCs w:val="22"/>
          <w:lang w:eastAsia="en-US"/>
        </w:rPr>
        <w:t xml:space="preserve">. всяка държава членка прави оценка на целесъобразността на своя план предвид действителните преки последици от </w:t>
      </w:r>
      <w:r w:rsidRPr="00106A2A">
        <w:rPr>
          <w:rFonts w:eastAsia="Calibri"/>
          <w:b/>
          <w:i/>
          <w:szCs w:val="22"/>
          <w:lang w:eastAsia="en-US"/>
        </w:rPr>
        <w:t>включването на емисиите на парникови газове от</w:t>
      </w:r>
      <w:r w:rsidRPr="00106A2A">
        <w:rPr>
          <w:rFonts w:eastAsia="Calibri"/>
          <w:szCs w:val="22"/>
          <w:lang w:eastAsia="en-US"/>
        </w:rPr>
        <w:t xml:space="preserve"> сградите и автомобилния транспорт </w:t>
      </w:r>
      <w:r w:rsidRPr="00106A2A">
        <w:rPr>
          <w:rFonts w:eastAsia="Calibri"/>
          <w:b/>
          <w:i/>
          <w:szCs w:val="22"/>
          <w:lang w:eastAsia="en-US"/>
        </w:rPr>
        <w:t>в приложното поле на</w:t>
      </w:r>
      <w:r w:rsidRPr="00106A2A">
        <w:rPr>
          <w:rFonts w:eastAsia="Calibri"/>
          <w:szCs w:val="22"/>
          <w:lang w:eastAsia="en-US"/>
        </w:rPr>
        <w:t xml:space="preserve"> Директива 2003/87/EО. Тези оценки се представят на Комисията </w:t>
      </w:r>
      <w:r w:rsidRPr="00106A2A">
        <w:rPr>
          <w:rFonts w:eastAsia="Calibri"/>
          <w:b/>
          <w:i/>
          <w:szCs w:val="22"/>
          <w:lang w:eastAsia="en-US"/>
        </w:rPr>
        <w:t>заедно с</w:t>
      </w:r>
      <w:r w:rsidRPr="00106A2A">
        <w:rPr>
          <w:rFonts w:eastAsia="Calibri"/>
          <w:szCs w:val="22"/>
          <w:lang w:eastAsia="en-US"/>
        </w:rPr>
        <w:t xml:space="preserve"> интегрираните национални  доклади за напредъка в областта на енергетиката и климата съгласно член 17 от Регламент (ЕС) 2018/1999.</w:t>
      </w:r>
    </w:p>
    <w:p w:rsidR="00106A2A" w:rsidRPr="00106A2A" w:rsidRDefault="00106A2A" w:rsidP="00106A2A">
      <w:pPr>
        <w:widowControl/>
        <w:spacing w:before="120" w:after="120" w:line="360" w:lineRule="auto"/>
        <w:ind w:left="851" w:hanging="851"/>
        <w:jc w:val="both"/>
        <w:rPr>
          <w:rFonts w:eastAsia="Calibri"/>
          <w:b/>
          <w: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b/>
          <w:i/>
          <w:szCs w:val="22"/>
          <w:lang w:eastAsia="en-US"/>
        </w:rPr>
        <w:t>6.</w:t>
      </w:r>
      <w:r w:rsidRPr="00106A2A">
        <w:rPr>
          <w:rFonts w:eastAsia="Calibri"/>
          <w:szCs w:val="22"/>
          <w:lang w:eastAsia="en-US"/>
        </w:rPr>
        <w:tab/>
      </w:r>
      <w:r w:rsidRPr="00106A2A">
        <w:rPr>
          <w:rFonts w:eastAsia="Calibri"/>
          <w:b/>
          <w:i/>
          <w:szCs w:val="22"/>
          <w:lang w:eastAsia="en-US"/>
        </w:rPr>
        <w:t>В случай на незначителни корекции в плана, представляващи увеличение или намаление с по-малко от 5 % на целева стойност, определена в плана, като например незначителни актуализации на мерките и инвестициите, определени в плана, или поправяне на технически грешки, държавата членка уведомява Комисията за тези промени.</w:t>
      </w:r>
    </w:p>
    <w:p w:rsidR="00106A2A" w:rsidRPr="00106A2A" w:rsidRDefault="00106A2A" w:rsidP="00106A2A">
      <w:pPr>
        <w:keepNext/>
        <w:widowControl/>
        <w:spacing w:before="360" w:after="120" w:line="360" w:lineRule="auto"/>
        <w:jc w:val="center"/>
        <w:rPr>
          <w:rFonts w:eastAsia="Calibri"/>
          <w:szCs w:val="22"/>
          <w:lang w:eastAsia="en-US"/>
        </w:rPr>
      </w:pPr>
      <w:r w:rsidRPr="00106A2A">
        <w:rPr>
          <w:rFonts w:eastAsia="Calibri"/>
          <w:szCs w:val="22"/>
          <w:lang w:eastAsia="en-US"/>
        </w:rPr>
        <w:t>Член 19</w:t>
      </w:r>
      <w:r w:rsidRPr="00106A2A">
        <w:rPr>
          <w:rFonts w:eastAsia="Calibri"/>
          <w:szCs w:val="22"/>
          <w:lang w:eastAsia="en-US"/>
        </w:rPr>
        <w:br/>
        <w:t>Задължение за разпределение на финансовите средства</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1.</w:t>
      </w:r>
      <w:r w:rsidRPr="00106A2A">
        <w:rPr>
          <w:rFonts w:eastAsia="Calibri"/>
          <w:szCs w:val="22"/>
          <w:lang w:eastAsia="en-US"/>
        </w:rPr>
        <w:tab/>
        <w:t xml:space="preserve">След като Комисията приеме </w:t>
      </w:r>
      <w:r w:rsidRPr="00106A2A">
        <w:rPr>
          <w:rFonts w:eastAsia="Calibri"/>
          <w:b/>
          <w:i/>
          <w:szCs w:val="22"/>
          <w:lang w:eastAsia="en-US"/>
        </w:rPr>
        <w:t>положително</w:t>
      </w:r>
      <w:r w:rsidRPr="00106A2A">
        <w:rPr>
          <w:rFonts w:eastAsia="Calibri"/>
          <w:szCs w:val="22"/>
          <w:lang w:eastAsia="en-US"/>
        </w:rPr>
        <w:t xml:space="preserve"> решение, както е посочено в член 17, тя своевременно сключва със съответната държава членка споразумение, което представлява индивидуално правно задължение по смисъла на Регламент (ЕС, Евратом) 2018/1046 </w:t>
      </w:r>
      <w:r w:rsidRPr="00106A2A">
        <w:rPr>
          <w:rFonts w:eastAsia="Calibri"/>
          <w:b/>
          <w:i/>
          <w:szCs w:val="22"/>
          <w:lang w:eastAsia="en-US"/>
        </w:rPr>
        <w:t>за</w:t>
      </w:r>
      <w:r w:rsidRPr="00106A2A">
        <w:rPr>
          <w:rFonts w:eastAsia="Calibri"/>
          <w:szCs w:val="22"/>
          <w:lang w:eastAsia="en-US"/>
        </w:rPr>
        <w:t xml:space="preserve"> периода </w:t>
      </w:r>
      <w:r w:rsidRPr="00106A2A">
        <w:rPr>
          <w:rFonts w:eastAsia="Calibri"/>
          <w:b/>
          <w:i/>
          <w:szCs w:val="22"/>
          <w:lang w:eastAsia="en-US"/>
        </w:rPr>
        <w:t>2026—2032 г., без да се засягат член 30г, параграф 4 и членове 30и и 30к от Директива 2003/87/ЕО</w:t>
      </w:r>
      <w:r w:rsidRPr="00106A2A">
        <w:rPr>
          <w:rFonts w:eastAsia="Calibri"/>
          <w:szCs w:val="22"/>
          <w:lang w:eastAsia="en-US"/>
        </w:rPr>
        <w:t xml:space="preserve">. Споразумението се сключва най-рано една година преди годината, през която започват търговете съгласно глава IVa от Директива 2003/87/EО, </w:t>
      </w:r>
      <w:r w:rsidRPr="00106A2A">
        <w:rPr>
          <w:rFonts w:eastAsia="Calibri"/>
          <w:b/>
          <w:i/>
          <w:szCs w:val="22"/>
          <w:lang w:eastAsia="en-US"/>
        </w:rPr>
        <w:t>или две години преди посочената година в случаите, в които се прилага член 10, параграф 1, трета алинея от настоящия регламент</w:t>
      </w:r>
      <w:r w:rsidRPr="00106A2A">
        <w:rPr>
          <w:rFonts w:eastAsia="Calibri"/>
          <w:szCs w:val="22"/>
          <w:lang w:eastAsia="en-US"/>
        </w:rPr>
        <w:t>.</w:t>
      </w:r>
    </w:p>
    <w:p w:rsidR="00106A2A" w:rsidRPr="00106A2A" w:rsidRDefault="00106A2A" w:rsidP="00106A2A">
      <w:pPr>
        <w:widowControl/>
        <w:spacing w:before="120" w:after="120" w:line="360" w:lineRule="auto"/>
        <w:ind w:left="851" w:hanging="851"/>
        <w:jc w:val="both"/>
        <w:rPr>
          <w:rFonts w:eastAsia="Calibri"/>
          <w:szCs w:val="22"/>
          <w:lang w:eastAsia="en-US"/>
        </w:rPr>
      </w:pPr>
      <w:r w:rsidRPr="00106A2A">
        <w:rPr>
          <w:rFonts w:eastAsia="Calibri"/>
          <w:szCs w:val="22"/>
          <w:lang w:eastAsia="en-US"/>
        </w:rPr>
        <w:t>▌</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2.</w:t>
      </w:r>
      <w:r w:rsidRPr="00106A2A">
        <w:rPr>
          <w:rFonts w:eastAsia="Calibri"/>
          <w:szCs w:val="22"/>
          <w:lang w:eastAsia="en-US"/>
        </w:rPr>
        <w:tab/>
        <w:t>Бюджетните задължения могат да се основават на глобални задължения и когато е целесъобразно, могат да бъдат разбити на годишни вноски, разпределени в рамките на няколко години.</w:t>
      </w:r>
    </w:p>
    <w:p w:rsidR="00106A2A" w:rsidRPr="00106A2A" w:rsidRDefault="00106A2A" w:rsidP="00106A2A">
      <w:pPr>
        <w:keepNext/>
        <w:widowControl/>
        <w:spacing w:before="360" w:after="120" w:line="360" w:lineRule="auto"/>
        <w:jc w:val="center"/>
        <w:rPr>
          <w:rFonts w:eastAsia="Calibri"/>
          <w:szCs w:val="22"/>
          <w:lang w:eastAsia="en-US"/>
        </w:rPr>
      </w:pPr>
      <w:r w:rsidRPr="00106A2A">
        <w:rPr>
          <w:rFonts w:eastAsia="Calibri"/>
          <w:szCs w:val="22"/>
          <w:lang w:eastAsia="en-US"/>
        </w:rPr>
        <w:t>Член 20</w:t>
      </w:r>
      <w:r w:rsidRPr="00106A2A">
        <w:rPr>
          <w:rFonts w:eastAsia="Calibri"/>
          <w:szCs w:val="22"/>
          <w:lang w:eastAsia="en-US"/>
        </w:rPr>
        <w:br/>
        <w:t>Правила относно плащанията, спирането на изпълнението на споразуменията за разпределение на финансови средства и прекратяването на тези споразумения</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1.</w:t>
      </w:r>
      <w:r w:rsidRPr="00106A2A">
        <w:rPr>
          <w:rFonts w:eastAsia="Calibri"/>
          <w:szCs w:val="22"/>
          <w:lang w:eastAsia="en-US"/>
        </w:rPr>
        <w:tab/>
        <w:t xml:space="preserve">Разпределените финансови средства се изплащат на държавите членки съгласно настоящия член, когато бъдат постигнати съответните договорени междинни цели и целеви стойности, посочени в одобрения съгласно член 17 план, и в съответствие с наличното финансиране. След такова постигане държавата членка представя на Комисията надлежно обосновано искане за плащане. Държавата членка подава такива искания за плащане до Комисията веднъж или два пъти годишно, до 31 юли </w:t>
      </w:r>
      <w:r w:rsidRPr="00106A2A">
        <w:rPr>
          <w:rFonts w:eastAsia="Calibri"/>
          <w:b/>
          <w:i/>
          <w:szCs w:val="22"/>
          <w:lang w:eastAsia="en-US"/>
        </w:rPr>
        <w:t>или до 31 декември</w:t>
      </w:r>
      <w:r w:rsidRPr="00106A2A">
        <w:rPr>
          <w:rFonts w:eastAsia="Calibri"/>
          <w:szCs w:val="22"/>
          <w:lang w:eastAsia="en-US"/>
        </w:rPr>
        <w:t>.</w:t>
      </w:r>
    </w:p>
    <w:p w:rsidR="00106A2A" w:rsidRPr="00106A2A" w:rsidRDefault="00106A2A" w:rsidP="00106A2A">
      <w:pPr>
        <w:widowControl/>
        <w:spacing w:before="120" w:after="120" w:line="360" w:lineRule="auto"/>
        <w:ind w:left="851" w:hanging="851"/>
        <w:jc w:val="both"/>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2.</w:t>
      </w:r>
      <w:r w:rsidRPr="00106A2A">
        <w:rPr>
          <w:rFonts w:eastAsia="Calibri"/>
          <w:szCs w:val="22"/>
          <w:lang w:eastAsia="en-US"/>
        </w:rPr>
        <w:tab/>
      </w:r>
      <w:r w:rsidRPr="00106A2A">
        <w:rPr>
          <w:rFonts w:eastAsia="Calibri"/>
          <w:b/>
          <w:i/>
          <w:szCs w:val="22"/>
          <w:lang w:eastAsia="en-US"/>
        </w:rPr>
        <w:t>При получаване на искане за плащане от държава членка Комисията оценява</w:t>
      </w:r>
      <w:r w:rsidRPr="00106A2A">
        <w:rPr>
          <w:rFonts w:eastAsia="Calibri"/>
          <w:szCs w:val="22"/>
          <w:lang w:eastAsia="en-US"/>
        </w:rPr>
        <w:t xml:space="preserve"> дали съответните междинни цели и целеви стойности, определени в решението на Комисията, посочено в член 17, са постигнати задоволително. Задоволителното постигане на междинните цели и целевите стойности предполага съответната държава членка да не е отменила мерките, свързани със задоволително постигнатите по-рано междинни цели и целеви стойности. ▌</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3.</w:t>
      </w:r>
      <w:r w:rsidRPr="00106A2A">
        <w:rPr>
          <w:rFonts w:eastAsia="Calibri"/>
          <w:szCs w:val="22"/>
          <w:lang w:eastAsia="en-US"/>
        </w:rPr>
        <w:tab/>
        <w:t xml:space="preserve">Когато Комисията дава положителна оценка </w:t>
      </w:r>
      <w:r w:rsidRPr="00106A2A">
        <w:rPr>
          <w:rFonts w:eastAsia="Calibri"/>
          <w:b/>
          <w:i/>
          <w:szCs w:val="22"/>
          <w:lang w:eastAsia="en-US"/>
        </w:rPr>
        <w:t>по индивидуално искане за плащане</w:t>
      </w:r>
      <w:r w:rsidRPr="00106A2A">
        <w:rPr>
          <w:rFonts w:eastAsia="Calibri"/>
          <w:szCs w:val="22"/>
          <w:lang w:eastAsia="en-US"/>
        </w:rPr>
        <w:t xml:space="preserve">, тя приема </w:t>
      </w:r>
      <w:r w:rsidRPr="00106A2A">
        <w:rPr>
          <w:rFonts w:eastAsia="Calibri"/>
          <w:b/>
          <w:i/>
          <w:szCs w:val="22"/>
          <w:lang w:eastAsia="en-US"/>
        </w:rPr>
        <w:t>индивидуално</w:t>
      </w:r>
      <w:r w:rsidRPr="00106A2A">
        <w:rPr>
          <w:rFonts w:eastAsia="Calibri"/>
          <w:szCs w:val="22"/>
          <w:lang w:eastAsia="en-US"/>
        </w:rPr>
        <w:t xml:space="preserve"> решение, с което разрешава изплащането на разпределените финансови средства в съответствие с Регламент (ЕС, Евратом) 2018/1046 </w:t>
      </w:r>
      <w:r w:rsidRPr="00106A2A">
        <w:rPr>
          <w:rFonts w:eastAsia="Calibri"/>
          <w:b/>
          <w:i/>
          <w:szCs w:val="22"/>
          <w:lang w:eastAsia="en-US"/>
        </w:rPr>
        <w:t>съобразно наличното финансиране и като гарантира равно третиране на държавите членки</w:t>
      </w:r>
      <w:r w:rsidRPr="00106A2A">
        <w:rPr>
          <w:rFonts w:eastAsia="Calibri"/>
          <w:szCs w:val="22"/>
          <w:lang w:eastAsia="en-US"/>
        </w:rPr>
        <w:t>.</w:t>
      </w:r>
      <w:r w:rsidRPr="00106A2A">
        <w:rPr>
          <w:rFonts w:eastAsia="Calibri"/>
          <w:b/>
          <w:i/>
          <w:szCs w:val="22"/>
          <w:lang w:eastAsia="en-US"/>
        </w:rPr>
        <w:t xml:space="preserve"> Комисията приема индивидуалното решение не по-рано от два месеца и не по-късно от три месеца след съответния краен срок за подаване на искането за плащане в съответствие с параграф 1 от настоящия член.</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4.</w:t>
      </w:r>
      <w:r w:rsidRPr="00106A2A">
        <w:rPr>
          <w:rFonts w:eastAsia="Calibri"/>
          <w:szCs w:val="22"/>
          <w:lang w:eastAsia="en-US"/>
        </w:rPr>
        <w:tab/>
        <w:t>Когато в резултат на оценката, посочена в параграф 3, Комисията установи, че междинните цели и целевите стойности, определени в посоченото в член 17 решение на Комисията, не са постигнати задоволително, плащането на част</w:t>
      </w:r>
      <w:r w:rsidRPr="00106A2A">
        <w:rPr>
          <w:rFonts w:eastAsia="Calibri"/>
          <w:b/>
          <w:i/>
          <w:szCs w:val="22"/>
          <w:lang w:eastAsia="en-US"/>
        </w:rPr>
        <w:t>та</w:t>
      </w:r>
      <w:r w:rsidRPr="00106A2A">
        <w:rPr>
          <w:rFonts w:eastAsia="Calibri"/>
          <w:szCs w:val="22"/>
          <w:lang w:eastAsia="en-US"/>
        </w:rPr>
        <w:t xml:space="preserve"> от разпределените финансови средства, </w:t>
      </w:r>
      <w:r w:rsidRPr="00106A2A">
        <w:rPr>
          <w:rFonts w:eastAsia="Calibri"/>
          <w:b/>
          <w:i/>
          <w:szCs w:val="22"/>
          <w:lang w:eastAsia="en-US"/>
        </w:rPr>
        <w:t>пропорционална на непостигнатата междинна цел или целева стойност</w:t>
      </w:r>
      <w:r w:rsidRPr="00106A2A">
        <w:rPr>
          <w:rFonts w:eastAsia="Calibri"/>
          <w:szCs w:val="22"/>
          <w:lang w:eastAsia="en-US"/>
        </w:rPr>
        <w:t>, се спира. Държавата членка може да представи своите коментари в срок от един месец от представянето на оценката на Комисията. ▌</w:t>
      </w:r>
    </w:p>
    <w:p w:rsidR="00106A2A" w:rsidRPr="00106A2A" w:rsidRDefault="00106A2A" w:rsidP="00106A2A">
      <w:pPr>
        <w:widowControl/>
        <w:spacing w:before="120" w:after="120" w:line="360" w:lineRule="auto"/>
        <w:ind w:left="851"/>
        <w:rPr>
          <w:rFonts w:eastAsia="Calibri"/>
          <w:szCs w:val="22"/>
          <w:lang w:eastAsia="en-US"/>
        </w:rPr>
      </w:pPr>
      <w:r w:rsidRPr="00106A2A">
        <w:rPr>
          <w:rFonts w:eastAsia="Calibri"/>
          <w:szCs w:val="22"/>
          <w:lang w:eastAsia="en-US"/>
        </w:rPr>
        <w:t>Спирането се отменя само когато бъдат постигнати задоволително междинните цели и целевите стойности, както е определено в решението на Комисията, посочено в член 17.</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5.</w:t>
      </w:r>
      <w:r w:rsidRPr="00106A2A">
        <w:rPr>
          <w:rFonts w:eastAsia="Calibri"/>
          <w:szCs w:val="22"/>
          <w:lang w:eastAsia="en-US"/>
        </w:rPr>
        <w:tab/>
        <w:t>Чрез дерогация от член 116, параграф 2 от Регламент (ЕС, Евратом) 2018/1046 срокът за плащане започва да тече от датата на съобщението за решението на Комисията за разрешаване на плащането на разпределените финансови средства на съответната държава членка съгласно параграф 3 от настоящия член или от датата на съобщението за отмяна на спирането съгласно параграф 4, втора алинея от настоящия член.</w:t>
      </w:r>
    </w:p>
    <w:p w:rsidR="00106A2A" w:rsidRPr="00106A2A" w:rsidRDefault="00106A2A" w:rsidP="00106A2A">
      <w:pPr>
        <w:widowControl/>
        <w:spacing w:before="120" w:after="120" w:line="360" w:lineRule="auto"/>
        <w:ind w:left="851" w:hanging="851"/>
        <w:jc w:val="both"/>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6.</w:t>
      </w:r>
      <w:r w:rsidRPr="00106A2A">
        <w:rPr>
          <w:rFonts w:eastAsia="Calibri"/>
          <w:szCs w:val="22"/>
          <w:lang w:eastAsia="en-US"/>
        </w:rPr>
        <w:tab/>
        <w:t xml:space="preserve">Когато междинните цели и целевите стойности не са задоволително постигнати в срок от </w:t>
      </w:r>
      <w:r w:rsidRPr="00106A2A">
        <w:rPr>
          <w:rFonts w:eastAsia="Calibri"/>
          <w:b/>
          <w:i/>
          <w:szCs w:val="22"/>
          <w:lang w:eastAsia="en-US"/>
        </w:rPr>
        <w:t>девет</w:t>
      </w:r>
      <w:r w:rsidRPr="00106A2A">
        <w:rPr>
          <w:rFonts w:eastAsia="Calibri"/>
          <w:szCs w:val="22"/>
          <w:lang w:eastAsia="en-US"/>
        </w:rPr>
        <w:t xml:space="preserve"> месеца след спирането на плащанията, посочено в параграф 4, първа алинея, Комисията намалява пропорционално сумата на разпределените финансови средства, след като е предоставила на държавата членка възможността да представи коментари в срок от два месеца от съобщението за заключенията на Комисията относно постигането на междинните цели и целевите стойности.</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7.</w:t>
      </w:r>
      <w:r w:rsidRPr="00106A2A">
        <w:rPr>
          <w:rFonts w:eastAsia="Calibri"/>
          <w:szCs w:val="22"/>
          <w:lang w:eastAsia="en-US"/>
        </w:rPr>
        <w:tab/>
        <w:t xml:space="preserve">Когато в рамките на </w:t>
      </w:r>
      <w:r w:rsidRPr="00106A2A">
        <w:rPr>
          <w:rFonts w:eastAsia="Calibri"/>
          <w:b/>
          <w:i/>
          <w:szCs w:val="22"/>
          <w:lang w:eastAsia="en-US"/>
        </w:rPr>
        <w:t>15</w:t>
      </w:r>
      <w:r w:rsidRPr="00106A2A">
        <w:rPr>
          <w:rFonts w:eastAsia="Calibri"/>
          <w:szCs w:val="22"/>
          <w:lang w:eastAsia="en-US"/>
        </w:rPr>
        <w:t xml:space="preserve"> месеца от датата на сключване на съответните споразумения, посочени в член 19, държавата членка не е постигнала осезаем напредък по отношение на никоя от съответните междинни цели и целеви стойности, Комисията прекратява споразуменията и отменя разпределените финансови средства, </w:t>
      </w:r>
      <w:r w:rsidRPr="00106A2A">
        <w:rPr>
          <w:rFonts w:eastAsia="Calibri"/>
          <w:b/>
          <w:i/>
          <w:szCs w:val="22"/>
          <w:lang w:eastAsia="en-US"/>
        </w:rPr>
        <w:t>без да се оказва въздействие върху прилагането на член 14, параграф 3 от Регламент</w:t>
      </w:r>
      <w:r w:rsidRPr="00106A2A">
        <w:rPr>
          <w:rFonts w:eastAsia="Calibri"/>
          <w:szCs w:val="22"/>
          <w:lang w:eastAsia="en-US"/>
        </w:rPr>
        <w:t xml:space="preserve"> </w:t>
      </w:r>
      <w:r w:rsidRPr="00106A2A">
        <w:rPr>
          <w:rFonts w:eastAsia="Calibri"/>
          <w:b/>
          <w:i/>
          <w:szCs w:val="22"/>
          <w:lang w:eastAsia="en-US"/>
        </w:rPr>
        <w:t>(ЕС, Евратом) 2018/1046</w:t>
      </w:r>
      <w:r w:rsidRPr="00106A2A">
        <w:rPr>
          <w:rFonts w:eastAsia="Calibri"/>
          <w:szCs w:val="22"/>
          <w:lang w:eastAsia="en-US"/>
        </w:rPr>
        <w:t>. Комисията взема решение относно прекратяването на посочените споразумения, след като е предоставила на държавата членка възможността да представи коментари в срок от два месеца от съобщението за оценката на Комисията, че не е бил постигнат осезаем напредък.</w:t>
      </w:r>
    </w:p>
    <w:p w:rsidR="00106A2A" w:rsidRPr="00106A2A" w:rsidRDefault="00106A2A" w:rsidP="00106A2A">
      <w:pPr>
        <w:widowControl/>
        <w:spacing w:before="120" w:after="120" w:line="360" w:lineRule="auto"/>
        <w:rPr>
          <w:rFonts w:eastAsia="Calibri"/>
          <w:b/>
          <w: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851" w:hanging="851"/>
        <w:jc w:val="both"/>
        <w:rPr>
          <w:rFonts w:eastAsia="Calibri"/>
          <w:szCs w:val="22"/>
          <w:lang w:eastAsia="en-US"/>
        </w:rPr>
      </w:pPr>
      <w:r w:rsidRPr="00106A2A">
        <w:rPr>
          <w:rFonts w:eastAsia="Calibri"/>
          <w:b/>
          <w:i/>
          <w:szCs w:val="22"/>
          <w:lang w:eastAsia="en-US"/>
        </w:rPr>
        <w:t>8.</w:t>
      </w:r>
      <w:r w:rsidRPr="00106A2A">
        <w:rPr>
          <w:rFonts w:eastAsia="Calibri"/>
          <w:szCs w:val="22"/>
          <w:lang w:eastAsia="en-US"/>
        </w:rPr>
        <w:tab/>
      </w:r>
      <w:r w:rsidRPr="00106A2A">
        <w:rPr>
          <w:rFonts w:eastAsia="Calibri"/>
          <w:b/>
          <w:i/>
          <w:szCs w:val="22"/>
          <w:lang w:eastAsia="en-US"/>
        </w:rPr>
        <w:t>Всички плащания се извършват до 31 декември 2033 г.</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b/>
          <w:i/>
          <w:szCs w:val="22"/>
          <w:lang w:eastAsia="en-US"/>
        </w:rPr>
        <w:t>9.</w:t>
      </w:r>
      <w:r w:rsidRPr="00106A2A">
        <w:rPr>
          <w:rFonts w:eastAsia="Calibri"/>
          <w:szCs w:val="22"/>
          <w:lang w:eastAsia="en-US"/>
        </w:rPr>
        <w:tab/>
      </w:r>
      <w:r w:rsidRPr="00106A2A">
        <w:rPr>
          <w:rFonts w:eastAsia="Calibri"/>
          <w:b/>
          <w:i/>
          <w:szCs w:val="22"/>
          <w:lang w:eastAsia="en-US"/>
        </w:rPr>
        <w:t>Чрез дерогация от член 116 от Регламент (ЕС, Евратом) 2018/1046 и параграф 5 от настоящия член, ако на даден кръг от искания за плащане, посочени в параграф 1 от настоящия член, целевите приходи, предназначени за Фонда в съответствие с член 30г, параграф 4 от Директива 2003/87/ЕО, не са достатъчни за покриване на представените искания за плащане, Комисията плаща на държавите членки на пропорционална основа, определена като дял от наличните средства за плащане, към общия размер на одобрените плащания. На следващия кръг от искания за плащане Комисията дава приоритет на плащанията на държавите членки със забавени плащания от предходния кръг на искания за плащане и едва след това на новоподадените искания за плащане.</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b/>
          <w:i/>
          <w:szCs w:val="22"/>
          <w:lang w:eastAsia="en-US"/>
        </w:rPr>
        <w:t>10.</w:t>
      </w:r>
      <w:r w:rsidRPr="00106A2A">
        <w:rPr>
          <w:rFonts w:eastAsia="Calibri"/>
          <w:szCs w:val="22"/>
          <w:lang w:eastAsia="en-US"/>
        </w:rPr>
        <w:tab/>
      </w:r>
      <w:r w:rsidRPr="00106A2A">
        <w:rPr>
          <w:rFonts w:eastAsia="Calibri"/>
          <w:b/>
          <w:i/>
          <w:szCs w:val="22"/>
          <w:lang w:eastAsia="en-US"/>
        </w:rPr>
        <w:t>Чрез дерогация от член 12, параграф 4, буква в) от Регламент (ЕС, Евратом) 2018/1046 и без да се оказва въздействие върху прилагането на член 30г, параграф 4, шеста алинея от Директива 2003/87/ЕО, Комисията разпределя на държавите членки сумите, съответстващи на всички бюджетни кредити, които не са били използвани до 31 декември 2033 г. в съответствие с правилата за разпределение на квотите, определени съгласно член 30г, параграф 5 от Директива 2003/87/ЕО, за да се постигнат целите, посочени в член 3 от настоящия регламент.</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keepNext/>
        <w:widowControl/>
        <w:spacing w:before="360" w:after="120" w:line="360" w:lineRule="auto"/>
        <w:jc w:val="center"/>
        <w:rPr>
          <w:rFonts w:eastAsia="Calibri"/>
          <w:szCs w:val="22"/>
          <w:lang w:eastAsia="en-US"/>
        </w:rPr>
      </w:pPr>
      <w:r w:rsidRPr="00106A2A">
        <w:rPr>
          <w:rFonts w:eastAsia="Calibri"/>
          <w:szCs w:val="22"/>
          <w:lang w:eastAsia="en-US"/>
        </w:rPr>
        <w:t>Член 21</w:t>
      </w:r>
      <w:r w:rsidRPr="00106A2A">
        <w:rPr>
          <w:rFonts w:eastAsia="Calibri"/>
          <w:szCs w:val="22"/>
          <w:lang w:eastAsia="en-US"/>
        </w:rPr>
        <w:br/>
        <w:t>Защита на финансовите интереси на Съюза</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1.</w:t>
      </w:r>
      <w:r w:rsidRPr="00106A2A">
        <w:rPr>
          <w:rFonts w:eastAsia="Calibri"/>
          <w:szCs w:val="22"/>
          <w:lang w:eastAsia="en-US"/>
        </w:rPr>
        <w:tab/>
      </w:r>
      <w:r w:rsidRPr="00106A2A">
        <w:rPr>
          <w:rFonts w:eastAsia="Calibri"/>
          <w:b/>
          <w:i/>
          <w:szCs w:val="22"/>
          <w:lang w:eastAsia="en-US"/>
        </w:rPr>
        <w:t>При изпълнението на плановете държавите членки</w:t>
      </w:r>
      <w:r w:rsidRPr="00106A2A">
        <w:rPr>
          <w:rFonts w:eastAsia="Calibri"/>
          <w:szCs w:val="22"/>
          <w:lang w:eastAsia="en-US"/>
        </w:rPr>
        <w:t xml:space="preserve">, в качеството си на бенефициери на средства по линия на Фонда, предприемат всички подходящи мерки, за да защитават финансовите интереси на Съюза и да гарантират, че използването на </w:t>
      </w:r>
      <w:r w:rsidRPr="00106A2A">
        <w:rPr>
          <w:rFonts w:eastAsia="Calibri"/>
          <w:b/>
          <w:i/>
          <w:szCs w:val="22"/>
          <w:lang w:eastAsia="en-US"/>
        </w:rPr>
        <w:t>разпределените финансови средства</w:t>
      </w:r>
      <w:r w:rsidRPr="00106A2A">
        <w:rPr>
          <w:rFonts w:eastAsia="Calibri"/>
          <w:szCs w:val="22"/>
          <w:lang w:eastAsia="en-US"/>
        </w:rPr>
        <w:t xml:space="preserve"> във връзка с мерките и инвестициите, получаващи подкрепа от Фонда, </w:t>
      </w:r>
      <w:r w:rsidRPr="00106A2A">
        <w:rPr>
          <w:rFonts w:eastAsia="Calibri"/>
          <w:b/>
          <w:i/>
          <w:szCs w:val="22"/>
          <w:lang w:eastAsia="en-US"/>
        </w:rPr>
        <w:t>включително тези, които се изпълняват от публични или частни образувания, различни от уязвими домакинства, уязвими микропредприятия и уязвими ползватели на транспорт съгласно член 9</w:t>
      </w:r>
      <w:r w:rsidRPr="00106A2A">
        <w:rPr>
          <w:rFonts w:eastAsia="Calibri"/>
          <w:szCs w:val="22"/>
          <w:lang w:eastAsia="en-US"/>
        </w:rPr>
        <w:t>, е съобразено с приложимото право на Съюза и с националното право, по-специално по отношение на предотвратяването, разкриването и поправянето на  измами, корупция и конфликти на интереси. За тази цел държавите членки осигуряват ефективна и ефикасна система за вътрешен контрол, както е изложено в приложение III, и връщане на неправомерно изплатени или неправилно използвани суми. Държавите членки могат да разчитат на обичайните национални системи за управление на бюджета.</w:t>
      </w:r>
    </w:p>
    <w:p w:rsidR="00106A2A" w:rsidRPr="00106A2A" w:rsidRDefault="00106A2A" w:rsidP="00106A2A">
      <w:pPr>
        <w:widowControl/>
        <w:spacing w:before="120" w:after="120" w:line="360" w:lineRule="auto"/>
        <w:ind w:left="851" w:hanging="851"/>
        <w:jc w:val="both"/>
        <w:rPr>
          <w:rFonts w:eastAsia="Calibri"/>
          <w:szCs w:val="22"/>
          <w:lang w:eastAsia="en-US"/>
        </w:rPr>
      </w:pPr>
      <w:r w:rsidRPr="00106A2A">
        <w:rPr>
          <w:rFonts w:eastAsia="Calibri"/>
          <w:szCs w:val="22"/>
          <w:lang w:eastAsia="en-US"/>
        </w:rPr>
        <w:t>2.</w:t>
      </w:r>
      <w:r w:rsidRPr="00106A2A">
        <w:rPr>
          <w:rFonts w:eastAsia="Calibri"/>
          <w:szCs w:val="22"/>
          <w:lang w:eastAsia="en-US"/>
        </w:rPr>
        <w:tab/>
        <w:t>Споразуменията, посочени в член 19, предвиждат следните задължения за държавите членки:</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t>a)</w:t>
      </w:r>
      <w:r w:rsidRPr="00106A2A">
        <w:rPr>
          <w:rFonts w:eastAsia="Calibri"/>
          <w:szCs w:val="22"/>
          <w:lang w:eastAsia="en-US"/>
        </w:rPr>
        <w:tab/>
        <w:t>да проверяват редовно дали предоставеното финансиране е било използвано правилно в съответствие с всички приложими правила и дали всяка мярка и инвестиция съгласно плана е била изпълнена правилно в съответствие с всички приложими правила, по-специално по отношение на предотвратяването, разкриването и поправянето на измами, корупция и конфликти на интереси;</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br w:type="page"/>
        <w:t>б)</w:t>
      </w:r>
      <w:r w:rsidRPr="00106A2A">
        <w:rPr>
          <w:rFonts w:eastAsia="Calibri"/>
          <w:szCs w:val="22"/>
          <w:lang w:eastAsia="en-US"/>
        </w:rPr>
        <w:tab/>
        <w:t>да предприемат подходящи мерки за предотвратяване, разкриване и поправяне на измами, корупция и конфликти на интереси съгласно определеното в член 61 от Регламент (ЕС, Евратом) 2018/1046, засягащи финансовите интереси на Съюза, и да предприемат правни действия за връщане на средства, които са били незаконно присвоени, включително във връзка с която и да е от мерките и инвестициите, изпълнени съгласно плана;</w:t>
      </w:r>
    </w:p>
    <w:p w:rsidR="00106A2A" w:rsidRPr="00106A2A" w:rsidRDefault="00106A2A" w:rsidP="00106A2A">
      <w:pPr>
        <w:widowControl/>
        <w:spacing w:before="120" w:after="120" w:line="360" w:lineRule="auto"/>
        <w:ind w:left="1418" w:hanging="567"/>
        <w:jc w:val="both"/>
        <w:rPr>
          <w:rFonts w:eastAsia="Calibri"/>
          <w:szCs w:val="22"/>
          <w:lang w:eastAsia="en-US"/>
        </w:rPr>
      </w:pPr>
      <w:r w:rsidRPr="00106A2A">
        <w:rPr>
          <w:rFonts w:eastAsia="Calibri"/>
          <w:szCs w:val="22"/>
          <w:lang w:eastAsia="en-US"/>
        </w:rPr>
        <w:t>в)</w:t>
      </w:r>
      <w:r w:rsidRPr="00106A2A">
        <w:rPr>
          <w:rFonts w:eastAsia="Calibri"/>
          <w:szCs w:val="22"/>
          <w:lang w:eastAsia="en-US"/>
        </w:rPr>
        <w:tab/>
        <w:t>да прилагат към искането за плащане:</w:t>
      </w:r>
    </w:p>
    <w:p w:rsidR="00106A2A" w:rsidRPr="00106A2A" w:rsidRDefault="00106A2A" w:rsidP="00106A2A">
      <w:pPr>
        <w:widowControl/>
        <w:spacing w:before="120" w:after="120" w:line="360" w:lineRule="auto"/>
        <w:ind w:left="1985" w:hanging="567"/>
        <w:rPr>
          <w:rFonts w:eastAsia="Calibri"/>
          <w:szCs w:val="22"/>
          <w:lang w:eastAsia="en-US"/>
        </w:rPr>
      </w:pPr>
      <w:r w:rsidRPr="00106A2A">
        <w:rPr>
          <w:rFonts w:eastAsia="Calibri"/>
          <w:szCs w:val="22"/>
          <w:lang w:eastAsia="en-US"/>
        </w:rPr>
        <w:t>i)</w:t>
      </w:r>
      <w:r w:rsidRPr="00106A2A">
        <w:rPr>
          <w:rFonts w:eastAsia="Calibri"/>
          <w:szCs w:val="22"/>
          <w:lang w:eastAsia="en-US"/>
        </w:rPr>
        <w:tab/>
        <w:t xml:space="preserve">декларация за управлението, която да удостоверява, че </w:t>
      </w:r>
      <w:r w:rsidRPr="00106A2A">
        <w:rPr>
          <w:rFonts w:eastAsia="Calibri"/>
          <w:b/>
          <w:i/>
          <w:szCs w:val="22"/>
          <w:lang w:eastAsia="en-US"/>
        </w:rPr>
        <w:t>разпределените финансови средства</w:t>
      </w:r>
      <w:r w:rsidRPr="00106A2A">
        <w:rPr>
          <w:rFonts w:eastAsia="Calibri"/>
          <w:szCs w:val="22"/>
          <w:lang w:eastAsia="en-US"/>
        </w:rPr>
        <w:t xml:space="preserve"> са използвани по предназначение, че информацията, предоставена с искането за плащане, е пълна, точна и надеждна, и че въведените системи за контрол дават необходимите гаранции, че </w:t>
      </w:r>
      <w:r w:rsidRPr="00106A2A">
        <w:rPr>
          <w:rFonts w:eastAsia="Calibri"/>
          <w:b/>
          <w:i/>
          <w:szCs w:val="22"/>
          <w:lang w:eastAsia="en-US"/>
        </w:rPr>
        <w:t>разпределените финансови средства</w:t>
      </w:r>
      <w:r w:rsidRPr="00106A2A">
        <w:rPr>
          <w:rFonts w:eastAsia="Calibri"/>
          <w:szCs w:val="22"/>
          <w:lang w:eastAsia="en-US"/>
        </w:rPr>
        <w:t xml:space="preserve"> са били управлявани в съответствие с всички приложими правила, и по-специално правилата относно избягването на конфликти на интереси и предотвратяването на измами, корупция и двойно финансиране от Фонда и от ▌ други програми на Съюза в съответствие с принципа на добро финансово управление; и</w:t>
      </w:r>
    </w:p>
    <w:p w:rsidR="00106A2A" w:rsidRPr="00106A2A" w:rsidRDefault="00106A2A" w:rsidP="00106A2A">
      <w:pPr>
        <w:widowControl/>
        <w:spacing w:before="120" w:after="120" w:line="360" w:lineRule="auto"/>
        <w:ind w:left="1985" w:hanging="567"/>
        <w:rPr>
          <w:rFonts w:eastAsia="Calibri"/>
          <w:szCs w:val="22"/>
          <w:lang w:eastAsia="en-US"/>
        </w:rPr>
      </w:pPr>
      <w:r w:rsidRPr="00106A2A">
        <w:rPr>
          <w:rFonts w:eastAsia="Calibri"/>
          <w:szCs w:val="22"/>
          <w:lang w:eastAsia="en-US"/>
        </w:rPr>
        <w:t>ii)</w:t>
      </w:r>
      <w:r w:rsidRPr="00106A2A">
        <w:rPr>
          <w:rFonts w:eastAsia="Calibri"/>
          <w:szCs w:val="22"/>
          <w:lang w:eastAsia="en-US"/>
        </w:rPr>
        <w:tab/>
        <w:t>обобщение на извършените одити в съответствие с международно приетите стандарти за одит, включително обсега на тези одити от гледна точка на обхванатия размер на разходите и обхванатия период, и анализ на установените слабости и евентуално предприети коригиращи действия;</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t>г)</w:t>
      </w:r>
      <w:r w:rsidRPr="00106A2A">
        <w:rPr>
          <w:rFonts w:eastAsia="Calibri"/>
          <w:szCs w:val="22"/>
          <w:lang w:eastAsia="en-US"/>
        </w:rPr>
        <w:tab/>
        <w:t xml:space="preserve">за целите на одита и контрола и за предоставяне на сравнима информация за използването на </w:t>
      </w:r>
      <w:r w:rsidRPr="00106A2A">
        <w:rPr>
          <w:rFonts w:eastAsia="Calibri"/>
          <w:b/>
          <w:i/>
          <w:szCs w:val="22"/>
          <w:lang w:eastAsia="en-US"/>
        </w:rPr>
        <w:t>разпределените финансови средства</w:t>
      </w:r>
      <w:r w:rsidRPr="00106A2A">
        <w:rPr>
          <w:rFonts w:eastAsia="Calibri"/>
          <w:szCs w:val="22"/>
          <w:lang w:eastAsia="en-US"/>
        </w:rPr>
        <w:t xml:space="preserve"> във връзка с мерките и инвестициите, изпълнявани съгласно плана, да събират, записват и съхраняват в електронна система посочените по-долу стандартни категории данни и да осигуряват достъп до тях:</w:t>
      </w:r>
    </w:p>
    <w:p w:rsidR="00106A2A" w:rsidRPr="00106A2A" w:rsidRDefault="00106A2A" w:rsidP="00106A2A">
      <w:pPr>
        <w:widowControl/>
        <w:spacing w:before="120" w:after="120" w:line="360" w:lineRule="auto"/>
        <w:ind w:left="1985" w:hanging="567"/>
        <w:rPr>
          <w:rFonts w:eastAsia="Calibri"/>
          <w:szCs w:val="22"/>
          <w:lang w:eastAsia="en-US"/>
        </w:rPr>
      </w:pPr>
      <w:r w:rsidRPr="00106A2A">
        <w:rPr>
          <w:rFonts w:eastAsia="Calibri"/>
          <w:szCs w:val="22"/>
          <w:lang w:eastAsia="en-US"/>
        </w:rPr>
        <w:t>i)</w:t>
      </w:r>
      <w:r w:rsidRPr="00106A2A">
        <w:rPr>
          <w:rFonts w:eastAsia="Calibri"/>
          <w:szCs w:val="22"/>
          <w:lang w:eastAsia="en-US"/>
        </w:rPr>
        <w:tab/>
        <w:t xml:space="preserve">название на крайните получатели на </w:t>
      </w:r>
      <w:r w:rsidRPr="00106A2A">
        <w:rPr>
          <w:rFonts w:eastAsia="Calibri"/>
          <w:b/>
          <w:i/>
          <w:szCs w:val="22"/>
          <w:lang w:eastAsia="en-US"/>
        </w:rPr>
        <w:t>разпределените финансови средства</w:t>
      </w:r>
      <w:r w:rsidRPr="00106A2A">
        <w:rPr>
          <w:rFonts w:eastAsia="Calibri"/>
          <w:szCs w:val="22"/>
          <w:lang w:eastAsia="en-US"/>
        </w:rPr>
        <w:t>, техните идентификационни номера по ДДС или данъчни идентификационни номера и размерът на разпределените финансови средства от Фонда;</w:t>
      </w:r>
    </w:p>
    <w:p w:rsidR="00106A2A" w:rsidRPr="00106A2A" w:rsidRDefault="00106A2A" w:rsidP="00106A2A">
      <w:pPr>
        <w:widowControl/>
        <w:spacing w:before="120" w:after="120" w:line="360" w:lineRule="auto"/>
        <w:ind w:left="1985" w:hanging="567"/>
        <w:rPr>
          <w:rFonts w:eastAsia="Calibri"/>
          <w:szCs w:val="22"/>
          <w:lang w:eastAsia="en-US"/>
        </w:rPr>
      </w:pPr>
      <w:r w:rsidRPr="00106A2A">
        <w:rPr>
          <w:rFonts w:eastAsia="Calibri"/>
          <w:szCs w:val="22"/>
          <w:lang w:eastAsia="en-US"/>
        </w:rPr>
        <w:t>ii)</w:t>
      </w:r>
      <w:r w:rsidRPr="00106A2A">
        <w:rPr>
          <w:rFonts w:eastAsia="Calibri"/>
          <w:szCs w:val="22"/>
          <w:lang w:eastAsia="en-US"/>
        </w:rPr>
        <w:tab/>
        <w:t xml:space="preserve">название на изпълнителя(-ите) и подизпълнителя(-ите) и техните идентификационни номера по ДДС или данъчни идентификационни номера </w:t>
      </w:r>
      <w:r w:rsidRPr="00106A2A">
        <w:rPr>
          <w:rFonts w:eastAsia="Calibri"/>
          <w:b/>
          <w:i/>
          <w:szCs w:val="22"/>
          <w:lang w:eastAsia="en-US"/>
        </w:rPr>
        <w:t>и стойността на договора(-ите)</w:t>
      </w:r>
      <w:r w:rsidRPr="00106A2A">
        <w:rPr>
          <w:rFonts w:eastAsia="Calibri"/>
          <w:szCs w:val="22"/>
          <w:lang w:eastAsia="en-US"/>
        </w:rPr>
        <w:t xml:space="preserve">, когато крайният получател на </w:t>
      </w:r>
      <w:r w:rsidRPr="00106A2A">
        <w:rPr>
          <w:rFonts w:eastAsia="Calibri"/>
          <w:b/>
          <w:i/>
          <w:szCs w:val="22"/>
          <w:lang w:eastAsia="en-US"/>
        </w:rPr>
        <w:t>разпределените финансови средства</w:t>
      </w:r>
      <w:r w:rsidRPr="00106A2A">
        <w:rPr>
          <w:rFonts w:eastAsia="Calibri"/>
          <w:szCs w:val="22"/>
          <w:lang w:eastAsia="en-US"/>
        </w:rPr>
        <w:t xml:space="preserve"> е възлагащ орган в съответствие с правото на Съюза или с националното право в областта на обществените поръчки ▌ ;</w:t>
      </w:r>
    </w:p>
    <w:p w:rsidR="00106A2A" w:rsidRPr="00106A2A" w:rsidRDefault="00106A2A" w:rsidP="00106A2A">
      <w:pPr>
        <w:widowControl/>
        <w:spacing w:before="120" w:after="120" w:line="360" w:lineRule="auto"/>
        <w:ind w:left="1985" w:hanging="567"/>
        <w:rPr>
          <w:rFonts w:eastAsia="Calibri"/>
          <w:szCs w:val="22"/>
          <w:lang w:eastAsia="en-US"/>
        </w:rPr>
      </w:pPr>
      <w:r w:rsidRPr="00106A2A">
        <w:rPr>
          <w:rFonts w:eastAsia="Calibri"/>
          <w:szCs w:val="22"/>
          <w:lang w:eastAsia="en-US"/>
        </w:rPr>
        <w:t>iii)</w:t>
      </w:r>
      <w:r w:rsidRPr="00106A2A">
        <w:rPr>
          <w:rFonts w:eastAsia="Calibri"/>
          <w:szCs w:val="22"/>
          <w:lang w:eastAsia="en-US"/>
        </w:rPr>
        <w:tab/>
        <w:t xml:space="preserve">собствено(-и) име(на), фамилно(-и) име(на), дата(и) на раждане и идентификационен номер/а по ДДС или данъчен идентификационен номер(а) на действителния(-ите) собственик(-ици) на получателя на </w:t>
      </w:r>
      <w:r w:rsidRPr="00106A2A">
        <w:rPr>
          <w:rFonts w:eastAsia="Calibri"/>
          <w:b/>
          <w:i/>
          <w:szCs w:val="22"/>
          <w:lang w:eastAsia="en-US"/>
        </w:rPr>
        <w:t>разпределените финансови средства</w:t>
      </w:r>
      <w:r w:rsidRPr="00106A2A">
        <w:rPr>
          <w:rFonts w:eastAsia="Calibri"/>
          <w:szCs w:val="22"/>
          <w:lang w:eastAsia="en-US"/>
        </w:rPr>
        <w:t xml:space="preserve"> или на изпълнителя по смисъла на член 3, точка 6 от Директива (ЕС) 2015/849 на Европейския парламент и на Съвета</w:t>
      </w:r>
      <w:r w:rsidRPr="00106A2A">
        <w:rPr>
          <w:rFonts w:eastAsia="Calibri"/>
          <w:b/>
          <w:szCs w:val="22"/>
          <w:vertAlign w:val="superscript"/>
          <w:lang w:eastAsia="en-US"/>
        </w:rPr>
        <w:footnoteReference w:id="33"/>
      </w:r>
      <w:r w:rsidRPr="00106A2A">
        <w:rPr>
          <w:rFonts w:eastAsia="Calibri"/>
          <w:szCs w:val="22"/>
          <w:lang w:eastAsia="en-US"/>
        </w:rPr>
        <w:t>;</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1985" w:hanging="567"/>
        <w:rPr>
          <w:rFonts w:eastAsia="Calibri"/>
          <w:szCs w:val="22"/>
          <w:lang w:eastAsia="en-US"/>
        </w:rPr>
      </w:pPr>
      <w:r w:rsidRPr="00106A2A">
        <w:rPr>
          <w:rFonts w:eastAsia="Calibri"/>
          <w:szCs w:val="22"/>
          <w:lang w:eastAsia="en-US"/>
        </w:rPr>
        <w:t>iv)</w:t>
      </w:r>
      <w:r w:rsidRPr="00106A2A">
        <w:rPr>
          <w:rFonts w:eastAsia="Calibri"/>
          <w:szCs w:val="22"/>
          <w:lang w:eastAsia="en-US"/>
        </w:rPr>
        <w:tab/>
        <w:t>списък на всички мерки и инвестиции, изпълнени по линия на Фонда с общия размер на публичното финансиране на тези мерки и инвестиции, като се посочва размерът на средствата, изплатени от други фондове, финансирани от бюджета на Съюза;</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t>д)</w:t>
      </w:r>
      <w:r w:rsidRPr="00106A2A">
        <w:rPr>
          <w:rFonts w:eastAsia="Calibri"/>
          <w:szCs w:val="22"/>
          <w:lang w:eastAsia="en-US"/>
        </w:rPr>
        <w:tab/>
        <w:t xml:space="preserve">да упълномощят изрично Комисията, OLAF, Сметната палата и — </w:t>
      </w:r>
      <w:r w:rsidRPr="00106A2A">
        <w:rPr>
          <w:rFonts w:eastAsia="Calibri"/>
          <w:b/>
          <w:i/>
          <w:szCs w:val="22"/>
          <w:lang w:eastAsia="en-US"/>
        </w:rPr>
        <w:t>по отношение на държавите членки, участващи в засилено сътрудничество съгласно Регламент (ЕС) 2017/1939</w:t>
      </w:r>
      <w:r w:rsidRPr="00106A2A">
        <w:rPr>
          <w:rFonts w:eastAsia="Calibri"/>
          <w:szCs w:val="22"/>
          <w:lang w:eastAsia="en-US"/>
        </w:rPr>
        <w:t xml:space="preserve"> — Европейската прокуратура да упражняват правата си, както е предвидено в член 129, параграф 1 от Регламент (ЕС, Евратом) 2018/1046 и да налагат задължения на всички крайни получатели на </w:t>
      </w:r>
      <w:r w:rsidRPr="00106A2A">
        <w:rPr>
          <w:rFonts w:eastAsia="Calibri"/>
          <w:b/>
          <w:i/>
          <w:szCs w:val="22"/>
          <w:lang w:eastAsia="en-US"/>
        </w:rPr>
        <w:t>разпределените финансови средства</w:t>
      </w:r>
      <w:r w:rsidRPr="00106A2A">
        <w:rPr>
          <w:rFonts w:eastAsia="Calibri"/>
          <w:szCs w:val="22"/>
          <w:lang w:eastAsia="en-US"/>
        </w:rPr>
        <w:t>, изплатени за изпълнение на мерките и инвестициите, включени в плана, или на всички други лица или субекти, участващи в изпълнението им, да упълномощават изрично Комисията, OLAF, Сметната палата и когато е приложимо — Европейската прокуратура, да упражняват правата си, както е предвидено в член 129, параграф 1 от Регламент (ЕС, Евратом) 2018/1046 и да налагат подобни задължения на всички крайни получатели на отпуснатите средства;</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szCs w:val="22"/>
          <w:lang w:eastAsia="en-US"/>
        </w:rPr>
        <w:t>е)</w:t>
      </w:r>
      <w:r w:rsidRPr="00106A2A">
        <w:rPr>
          <w:rFonts w:eastAsia="Calibri"/>
          <w:szCs w:val="22"/>
          <w:lang w:eastAsia="en-US"/>
        </w:rPr>
        <w:tab/>
        <w:t xml:space="preserve">да водят документация в съответствие с член 132 от Регламент (ЕС, Евратом) 2018/1046, </w:t>
      </w:r>
      <w:r w:rsidRPr="00106A2A">
        <w:rPr>
          <w:rFonts w:eastAsia="Calibri"/>
          <w:b/>
          <w:i/>
          <w:szCs w:val="22"/>
          <w:lang w:eastAsia="en-US"/>
        </w:rPr>
        <w:t>като отправна точка е платежната операция, отнасяща се до съответната мярка или инвестиция</w:t>
      </w:r>
      <w:r w:rsidRPr="00106A2A">
        <w:rPr>
          <w:rFonts w:eastAsia="Calibri"/>
          <w:szCs w:val="22"/>
          <w:lang w:eastAsia="en-US"/>
        </w:rPr>
        <w:t>.</w:t>
      </w:r>
    </w:p>
    <w:p w:rsidR="00106A2A" w:rsidRPr="00106A2A" w:rsidRDefault="00106A2A" w:rsidP="00106A2A">
      <w:pPr>
        <w:widowControl/>
        <w:spacing w:before="120" w:after="120" w:line="360" w:lineRule="auto"/>
        <w:ind w:left="567"/>
        <w:rPr>
          <w:rFonts w:eastAsia="Calibri"/>
          <w:b/>
          <w:i/>
          <w:szCs w:val="22"/>
          <w:lang w:eastAsia="en-US"/>
        </w:rPr>
      </w:pPr>
      <w:r w:rsidRPr="00106A2A">
        <w:rPr>
          <w:rFonts w:eastAsia="Calibri"/>
          <w:b/>
          <w:i/>
          <w:szCs w:val="22"/>
          <w:lang w:eastAsia="en-US"/>
        </w:rPr>
        <w:t>Информацията, посочена в буква г), точка ii) от първа алинея, се изисква само когато стойността на обществената поръчка е по-висока от праговете на Съюза, определени в член 4 от Директива 2014/24/ЕС на Европейския парламент и на Съвета</w:t>
      </w:r>
      <w:r w:rsidRPr="00106A2A">
        <w:rPr>
          <w:rFonts w:eastAsia="Calibri"/>
          <w:b/>
          <w:i/>
          <w:szCs w:val="22"/>
          <w:vertAlign w:val="superscript"/>
          <w:lang w:eastAsia="en-US"/>
        </w:rPr>
        <w:footnoteReference w:id="34"/>
      </w:r>
      <w:r w:rsidRPr="00106A2A">
        <w:rPr>
          <w:rFonts w:eastAsia="Calibri"/>
          <w:b/>
          <w:i/>
          <w:szCs w:val="22"/>
          <w:lang w:eastAsia="en-US"/>
        </w:rPr>
        <w:t>. По отношение на подизпълнителите тази информация се изисква само:</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b/>
          <w:i/>
          <w:szCs w:val="22"/>
          <w:lang w:eastAsia="en-US"/>
        </w:rPr>
        <w:t>а)</w:t>
      </w:r>
      <w:r w:rsidRPr="00106A2A">
        <w:rPr>
          <w:rFonts w:eastAsia="Calibri"/>
          <w:b/>
          <w:i/>
          <w:szCs w:val="22"/>
          <w:lang w:eastAsia="en-US"/>
        </w:rPr>
        <w:tab/>
        <w:t>за първото ниво на възлагане на подизпълнители;</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b/>
          <w:i/>
          <w:szCs w:val="22"/>
          <w:lang w:eastAsia="en-US"/>
        </w:rPr>
        <w:t>б)</w:t>
      </w:r>
      <w:r w:rsidRPr="00106A2A">
        <w:rPr>
          <w:rFonts w:eastAsia="Calibri"/>
          <w:b/>
          <w:i/>
          <w:szCs w:val="22"/>
          <w:lang w:eastAsia="en-US"/>
        </w:rPr>
        <w:tab/>
        <w:t>когато информацията е записана по отношение на съответния изпълнител; и</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b/>
          <w:i/>
          <w:szCs w:val="22"/>
          <w:lang w:eastAsia="en-US"/>
        </w:rPr>
        <w:t>в)</w:t>
      </w:r>
      <w:r w:rsidRPr="00106A2A">
        <w:rPr>
          <w:rFonts w:eastAsia="Calibri"/>
          <w:b/>
          <w:i/>
          <w:szCs w:val="22"/>
          <w:lang w:eastAsia="en-US"/>
        </w:rPr>
        <w:tab/>
        <w:t>за договори с подизпълнител на обща стойност над 50 000 EUR.</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3.</w:t>
      </w:r>
      <w:r w:rsidRPr="00106A2A">
        <w:rPr>
          <w:rFonts w:eastAsia="Calibri"/>
          <w:szCs w:val="22"/>
          <w:lang w:eastAsia="en-US"/>
        </w:rPr>
        <w:tab/>
        <w:t xml:space="preserve">Личните данни, посочени в параграф 2, буква г) от настоящия член, се обработват от държавите членки и от Комисията за целите и в рамките на съответната продължителност на производствата, отнасящи се до освобождаването от отговорност във връзка с изпълнението на бюджета, процедурите по одит и контрол, информационните и комуникационните дейности и дейностите по осигуряване на видимост във връзка с използването на </w:t>
      </w:r>
      <w:r w:rsidRPr="00106A2A">
        <w:rPr>
          <w:rFonts w:eastAsia="Calibri"/>
          <w:b/>
          <w:i/>
          <w:szCs w:val="22"/>
          <w:lang w:eastAsia="en-US"/>
        </w:rPr>
        <w:t>разпределените финансови средства</w:t>
      </w:r>
      <w:r w:rsidRPr="00106A2A">
        <w:rPr>
          <w:rFonts w:eastAsia="Calibri"/>
          <w:szCs w:val="22"/>
          <w:lang w:eastAsia="en-US"/>
        </w:rPr>
        <w:t>, свързани с изпълнението на посочените в член 19 споразумения. Личните данни се обработват в съответствие с Регламент (ЕС) 2016/679 или Регламент (ЕС) 2018/1725, в зависимост от това кой от двата е приложим. В рамките на процедурата по освобождаване от отговорност на Комисията в съответствие с член 319 ДФЕС Фондът подлежи на докладване съгласно интегрираните отчети за финансите и управленската отговорност, посочени в член 247 от Регламент (ЕС, Евратом) 2018/1046, и по-специално отделно в годишния доклад за управлението и резултатите.</w:t>
      </w:r>
    </w:p>
    <w:p w:rsidR="00106A2A" w:rsidRPr="00106A2A" w:rsidRDefault="00106A2A" w:rsidP="00106A2A">
      <w:pPr>
        <w:widowControl/>
        <w:spacing w:before="120" w:after="120" w:line="360" w:lineRule="auto"/>
        <w:ind w:left="851" w:hanging="851"/>
        <w:jc w:val="both"/>
        <w:rPr>
          <w:rFonts w:eastAsia="Calibri"/>
          <w:szCs w:val="22"/>
          <w:lang w:eastAsia="en-US"/>
        </w:rPr>
      </w:pPr>
      <w:r w:rsidRPr="00106A2A">
        <w:rPr>
          <w:rFonts w:eastAsia="Calibri"/>
          <w:szCs w:val="22"/>
          <w:lang w:eastAsia="en-US"/>
        </w:rPr>
        <w:tab/>
        <w:t>▌</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4.</w:t>
      </w:r>
      <w:r w:rsidRPr="00106A2A">
        <w:rPr>
          <w:rFonts w:eastAsia="Calibri"/>
          <w:szCs w:val="22"/>
          <w:lang w:eastAsia="en-US"/>
        </w:rPr>
        <w:tab/>
        <w:t>Споразуменията, посочени в член 19, предвиждат също така правото на Комисията да намалява пропорционално подкрепата по линия на Фонда и да събира всички суми, дължими на бюджета на Съюза в случаи на измама, корупция и конфликт на интереси, засягащи финансовите интереси на Съюза, които не са били коригирани от държавата членка, или в случай на сериозни неизпълнения на задължението, произтичащо от такива споразумения.</w:t>
      </w:r>
    </w:p>
    <w:p w:rsidR="00106A2A" w:rsidRPr="00106A2A" w:rsidRDefault="00106A2A" w:rsidP="00106A2A">
      <w:pPr>
        <w:widowControl/>
        <w:spacing w:before="120" w:after="120" w:line="360" w:lineRule="auto"/>
        <w:ind w:left="851"/>
        <w:rPr>
          <w:rFonts w:eastAsia="Calibri"/>
          <w:szCs w:val="22"/>
          <w:lang w:eastAsia="en-US"/>
        </w:rPr>
      </w:pPr>
      <w:r w:rsidRPr="00106A2A">
        <w:rPr>
          <w:rFonts w:eastAsia="Calibri"/>
          <w:szCs w:val="22"/>
          <w:lang w:eastAsia="en-US"/>
        </w:rPr>
        <w:t>При вземането на решение относно размера на възстановяването или намаляването на сумата, Комисията спазва принципа на пропорционалност и взема предвид тежестта на измамата, корупцията или конфликта на интереси, засягащи финансовите интереси на Съюза, или на неизпълнението на задължение. Комисията дава възможност на държавата членка да представи коментари, преди намалението да влезе в сила.</w:t>
      </w:r>
    </w:p>
    <w:p w:rsidR="00106A2A" w:rsidRPr="00106A2A" w:rsidRDefault="00106A2A" w:rsidP="00106A2A">
      <w:pPr>
        <w:widowControl/>
        <w:spacing w:before="360" w:after="120" w:line="360" w:lineRule="auto"/>
        <w:jc w:val="center"/>
        <w:rPr>
          <w:rFonts w:eastAsia="Calibri"/>
          <w:sz w:val="28"/>
          <w:szCs w:val="22"/>
          <w:lang w:eastAsia="en-US"/>
        </w:rPr>
      </w:pPr>
      <w:r w:rsidRPr="00106A2A">
        <w:rPr>
          <w:rFonts w:eastAsia="Calibri"/>
          <w:szCs w:val="22"/>
          <w:lang w:eastAsia="en-US"/>
        </w:rPr>
        <w:br w:type="page"/>
      </w:r>
    </w:p>
    <w:p w:rsidR="00106A2A" w:rsidRPr="00106A2A" w:rsidRDefault="00106A2A" w:rsidP="00106A2A">
      <w:pPr>
        <w:widowControl/>
        <w:spacing w:before="360" w:after="120" w:line="360" w:lineRule="auto"/>
        <w:jc w:val="center"/>
        <w:rPr>
          <w:rFonts w:eastAsia="Calibri"/>
          <w:sz w:val="28"/>
          <w:szCs w:val="22"/>
          <w:lang w:eastAsia="en-US"/>
        </w:rPr>
      </w:pPr>
      <w:r w:rsidRPr="00106A2A">
        <w:rPr>
          <w:rFonts w:eastAsia="Calibri"/>
          <w:sz w:val="28"/>
          <w:szCs w:val="22"/>
          <w:lang w:eastAsia="en-US"/>
        </w:rPr>
        <w:t>ГЛАВА IV</w:t>
      </w:r>
      <w:r w:rsidRPr="00106A2A">
        <w:rPr>
          <w:rFonts w:eastAsia="Calibri"/>
          <w:sz w:val="28"/>
          <w:szCs w:val="22"/>
          <w:lang w:eastAsia="en-US"/>
        </w:rPr>
        <w:br/>
        <w:t>ВЗАИМНО ДОПЪЛВАНЕ, МОНИТОРИНГ И ОЦЕНКА</w:t>
      </w:r>
    </w:p>
    <w:p w:rsidR="00106A2A" w:rsidRPr="00106A2A" w:rsidRDefault="00106A2A" w:rsidP="00106A2A">
      <w:pPr>
        <w:keepNext/>
        <w:widowControl/>
        <w:spacing w:before="360" w:after="120" w:line="360" w:lineRule="auto"/>
        <w:jc w:val="center"/>
        <w:rPr>
          <w:rFonts w:eastAsia="Calibri"/>
          <w:szCs w:val="22"/>
          <w:lang w:eastAsia="en-US"/>
        </w:rPr>
      </w:pPr>
      <w:r w:rsidRPr="00106A2A">
        <w:rPr>
          <w:rFonts w:eastAsia="Calibri"/>
          <w:szCs w:val="22"/>
          <w:lang w:eastAsia="en-US"/>
        </w:rPr>
        <w:t>Член 22</w:t>
      </w:r>
      <w:r w:rsidRPr="00106A2A">
        <w:rPr>
          <w:rFonts w:eastAsia="Calibri"/>
          <w:szCs w:val="22"/>
          <w:lang w:eastAsia="en-US"/>
        </w:rPr>
        <w:br/>
        <w:t>Координация и взаимно допълване</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t xml:space="preserve">Комисията и съответните държави членки, по начин, който е съизмерим със съответните им отговорности, насърчават взаимодействията и гарантират ефективната координация между Фонда и ▌ програмите и инструментите на Съюза, </w:t>
      </w:r>
      <w:r w:rsidRPr="00106A2A">
        <w:rPr>
          <w:rFonts w:eastAsia="Calibri"/>
          <w:b/>
          <w:i/>
          <w:szCs w:val="22"/>
          <w:lang w:eastAsia="en-US"/>
        </w:rPr>
        <w:t>посочени в член 6, параграф 3, и Модернизационния фонд съгласно член 10г от Директива 2003/87/ЕО</w:t>
      </w:r>
      <w:r w:rsidRPr="00106A2A">
        <w:rPr>
          <w:rFonts w:eastAsia="Calibri"/>
          <w:szCs w:val="22"/>
          <w:lang w:eastAsia="en-US"/>
        </w:rPr>
        <w:t>. За целта те:</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a)</w:t>
      </w:r>
      <w:r w:rsidRPr="00106A2A">
        <w:rPr>
          <w:rFonts w:eastAsia="Calibri"/>
          <w:szCs w:val="22"/>
          <w:lang w:eastAsia="en-US"/>
        </w:rPr>
        <w:tab/>
        <w:t xml:space="preserve">осигуряват взаимно допълване, полезно взаимодействие, последователност и съгласуваност между различните инструменти на равнището на Съюза, на национално и по целесъобразност, на </w:t>
      </w:r>
      <w:r w:rsidRPr="00106A2A">
        <w:rPr>
          <w:rFonts w:eastAsia="Calibri"/>
          <w:b/>
          <w:i/>
          <w:szCs w:val="22"/>
          <w:lang w:eastAsia="en-US"/>
        </w:rPr>
        <w:t>местно</w:t>
      </w:r>
      <w:r w:rsidRPr="00106A2A">
        <w:rPr>
          <w:rFonts w:eastAsia="Calibri"/>
          <w:szCs w:val="22"/>
          <w:lang w:eastAsia="en-US"/>
        </w:rPr>
        <w:t xml:space="preserve"> или регионално равнище, както във фазата на планиране, така и по време на изпълнението;</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б)</w:t>
      </w:r>
      <w:r w:rsidRPr="00106A2A">
        <w:rPr>
          <w:rFonts w:eastAsia="Calibri"/>
          <w:szCs w:val="22"/>
          <w:lang w:eastAsia="en-US"/>
        </w:rPr>
        <w:tab/>
        <w:t>оптимизират механизмите за координация с цел избягване на дублирането на усилия; и</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в)</w:t>
      </w:r>
      <w:r w:rsidRPr="00106A2A">
        <w:rPr>
          <w:rFonts w:eastAsia="Calibri"/>
          <w:szCs w:val="22"/>
          <w:lang w:eastAsia="en-US"/>
        </w:rPr>
        <w:tab/>
        <w:t xml:space="preserve">осигуряват тясно сътрудничество между отговарящите за изпълнението и контрола лица на равнището на Съюза, на национално и по целесъобразност, на </w:t>
      </w:r>
      <w:r w:rsidRPr="00106A2A">
        <w:rPr>
          <w:rFonts w:eastAsia="Calibri"/>
          <w:b/>
          <w:i/>
          <w:szCs w:val="22"/>
          <w:lang w:eastAsia="en-US"/>
        </w:rPr>
        <w:t>местно</w:t>
      </w:r>
      <w:r w:rsidRPr="00106A2A">
        <w:rPr>
          <w:rFonts w:eastAsia="Calibri"/>
          <w:szCs w:val="22"/>
          <w:lang w:eastAsia="en-US"/>
        </w:rPr>
        <w:t xml:space="preserve"> или регионално равнище за постигане на целите на Фонда.</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keepNext/>
        <w:widowControl/>
        <w:spacing w:before="360" w:after="120" w:line="360" w:lineRule="auto"/>
        <w:jc w:val="center"/>
        <w:rPr>
          <w:rFonts w:eastAsia="Calibri"/>
          <w:szCs w:val="22"/>
          <w:lang w:eastAsia="en-US"/>
        </w:rPr>
      </w:pPr>
      <w:r w:rsidRPr="00106A2A">
        <w:rPr>
          <w:rFonts w:eastAsia="Calibri"/>
          <w:szCs w:val="22"/>
          <w:lang w:eastAsia="en-US"/>
        </w:rPr>
        <w:t>Член 23</w:t>
      </w:r>
      <w:r w:rsidRPr="00106A2A">
        <w:rPr>
          <w:rFonts w:eastAsia="Calibri"/>
          <w:szCs w:val="22"/>
          <w:lang w:eastAsia="en-US"/>
        </w:rPr>
        <w:br/>
        <w:t>Информация, комуникация и видимост</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1.</w:t>
      </w:r>
      <w:r w:rsidRPr="00106A2A">
        <w:rPr>
          <w:rFonts w:eastAsia="Calibri"/>
          <w:szCs w:val="22"/>
          <w:lang w:eastAsia="en-US"/>
        </w:rPr>
        <w:tab/>
        <w:t>Държавите членки осигуряват публичен достъп до данните, посочени в член 21, параграф 2, буква г), точки i), ii) и iv) от настоящия регламент, и ги поддържат актуализирани на един уебсайт в отворени, машинночетими формати, както е предвидено в член 5, параграф 1 от Директива (ЕС) 2019/1024 на Европейския парламент и на Съвета</w:t>
      </w:r>
      <w:r w:rsidRPr="00106A2A">
        <w:rPr>
          <w:rFonts w:eastAsia="Calibri"/>
          <w:b/>
          <w:szCs w:val="22"/>
          <w:vertAlign w:val="superscript"/>
          <w:lang w:eastAsia="en-US"/>
        </w:rPr>
        <w:footnoteReference w:id="35"/>
      </w:r>
      <w:r w:rsidRPr="00106A2A">
        <w:rPr>
          <w:rFonts w:eastAsia="Calibri"/>
          <w:szCs w:val="22"/>
          <w:lang w:eastAsia="en-US"/>
        </w:rPr>
        <w:t xml:space="preserve">, което позволява данните да бъдат сортирани, търсени, извличани, сравнявани и повторно използвани. Информацията, посочена в член 21, параграф 2, буква г), точки i) и ii) от настоящия регламент, не се публикува в случаите, предвидени в член 38, параграф 3 от Регламент (ЕС, Евратом) 2018/1046, или </w:t>
      </w:r>
      <w:r w:rsidRPr="00106A2A">
        <w:rPr>
          <w:rFonts w:eastAsia="Calibri"/>
          <w:b/>
          <w:i/>
          <w:szCs w:val="22"/>
          <w:lang w:eastAsia="en-US"/>
        </w:rPr>
        <w:t>в случай на</w:t>
      </w:r>
      <w:r w:rsidRPr="00106A2A">
        <w:rPr>
          <w:rFonts w:eastAsia="Calibri"/>
          <w:szCs w:val="22"/>
          <w:lang w:eastAsia="en-US"/>
        </w:rPr>
        <w:t xml:space="preserve"> временно пряко подпомагане на доходите </w:t>
      </w:r>
      <w:r w:rsidRPr="00106A2A">
        <w:rPr>
          <w:rFonts w:eastAsia="Calibri"/>
          <w:b/>
          <w:i/>
          <w:szCs w:val="22"/>
          <w:lang w:eastAsia="en-US"/>
        </w:rPr>
        <w:t>на уязвими домакинства</w:t>
      </w:r>
      <w:r w:rsidRPr="00106A2A">
        <w:rPr>
          <w:rFonts w:eastAsia="Calibri"/>
          <w:szCs w:val="22"/>
          <w:lang w:eastAsia="en-US"/>
        </w:rPr>
        <w:t>.</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2.</w:t>
      </w:r>
      <w:r w:rsidRPr="00106A2A">
        <w:rPr>
          <w:rFonts w:eastAsia="Calibri"/>
          <w:szCs w:val="22"/>
          <w:lang w:eastAsia="en-US"/>
        </w:rPr>
        <w:tab/>
        <w:t xml:space="preserve">На получателите на подкрепа от Фонда </w:t>
      </w:r>
      <w:r w:rsidRPr="00106A2A">
        <w:rPr>
          <w:rFonts w:eastAsia="Calibri"/>
          <w:b/>
          <w:i/>
          <w:szCs w:val="22"/>
          <w:lang w:eastAsia="en-US"/>
        </w:rPr>
        <w:t>се предоставя информация за</w:t>
      </w:r>
      <w:r w:rsidRPr="00106A2A">
        <w:rPr>
          <w:rFonts w:eastAsia="Calibri"/>
          <w:szCs w:val="22"/>
          <w:lang w:eastAsia="en-US"/>
        </w:rPr>
        <w:t xml:space="preserve"> произхода на тези средства, </w:t>
      </w:r>
      <w:r w:rsidRPr="00106A2A">
        <w:rPr>
          <w:rFonts w:eastAsia="Calibri"/>
          <w:b/>
          <w:i/>
          <w:szCs w:val="22"/>
          <w:lang w:eastAsia="en-US"/>
        </w:rPr>
        <w:t>включително когато ги получават чрез посредници</w:t>
      </w:r>
      <w:r w:rsidRPr="00106A2A">
        <w:rPr>
          <w:rFonts w:eastAsia="Calibri"/>
          <w:szCs w:val="22"/>
          <w:lang w:eastAsia="en-US"/>
        </w:rPr>
        <w:t>.</w:t>
      </w:r>
      <w:r w:rsidRPr="00106A2A">
        <w:rPr>
          <w:rFonts w:eastAsia="Calibri"/>
          <w:b/>
          <w:i/>
          <w:szCs w:val="22"/>
          <w:lang w:eastAsia="en-US"/>
        </w:rPr>
        <w:t xml:space="preserve"> Тази информация включва емблемата на Съюза и подходяща декларация във връзка с финансирането, която гласи „финансирано от Европейския съюз — Социален фонд за климата“ в документите и комуникационните материали, свързани с изпълнението на мярката и предназначени за получателите. </w:t>
      </w:r>
      <w:r w:rsidRPr="00106A2A">
        <w:rPr>
          <w:rFonts w:eastAsia="Calibri"/>
          <w:szCs w:val="22"/>
          <w:lang w:eastAsia="en-US"/>
        </w:rPr>
        <w:t>Получателите на подкрепа от Фонда,</w:t>
      </w:r>
      <w:r w:rsidRPr="00106A2A">
        <w:rPr>
          <w:rFonts w:eastAsia="Calibri"/>
          <w:b/>
          <w:i/>
          <w:szCs w:val="22"/>
          <w:lang w:eastAsia="en-US"/>
        </w:rPr>
        <w:t xml:space="preserve"> с изключение на подкрепата за физически лица и на случаите, в които има опасност от оповестяване на чувствителна търговска информация</w:t>
      </w:r>
      <w:r w:rsidRPr="00106A2A">
        <w:rPr>
          <w:rFonts w:eastAsia="Calibri"/>
          <w:szCs w:val="22"/>
          <w:lang w:eastAsia="en-US"/>
        </w:rPr>
        <w:t>, осигуряват видимост на финансирането от Съюза, по-специално когато популяризират действията и резултатите от тях, като предоставят последователна, ефективна и пропорционална целева информация на различни видове публика, включително медиите и обществеността.</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3.</w:t>
      </w:r>
      <w:r w:rsidRPr="00106A2A">
        <w:rPr>
          <w:rFonts w:eastAsia="Calibri"/>
          <w:szCs w:val="22"/>
          <w:lang w:eastAsia="en-US"/>
        </w:rPr>
        <w:tab/>
        <w:t>Комисията осъществява информационни и комуникационни дейности по отношение на Фонда, на действията, предприети съгласно настоящия регламент, и на постигнатите резултати, включително, по целесъобразност и със съгласието на националните органи, чрез съвместни комуникационни дейности с националните органи и с представителствата на Европейския парламент и на Комисията в съответната държава членка.</w:t>
      </w:r>
    </w:p>
    <w:p w:rsidR="00106A2A" w:rsidRPr="00106A2A" w:rsidRDefault="00106A2A" w:rsidP="00106A2A">
      <w:pPr>
        <w:keepNext/>
        <w:widowControl/>
        <w:spacing w:before="360" w:after="120" w:line="360" w:lineRule="auto"/>
        <w:jc w:val="center"/>
        <w:rPr>
          <w:rFonts w:eastAsia="Calibri"/>
          <w:szCs w:val="22"/>
          <w:lang w:eastAsia="en-US"/>
        </w:rPr>
      </w:pPr>
      <w:r w:rsidRPr="00106A2A">
        <w:rPr>
          <w:rFonts w:eastAsia="Calibri"/>
          <w:szCs w:val="22"/>
          <w:lang w:eastAsia="en-US"/>
        </w:rPr>
        <w:t>Член 24</w:t>
      </w:r>
      <w:r w:rsidRPr="00106A2A">
        <w:rPr>
          <w:rFonts w:eastAsia="Calibri"/>
          <w:szCs w:val="22"/>
          <w:lang w:eastAsia="en-US"/>
        </w:rPr>
        <w:br/>
        <w:t>Мониторинг на изпълнението</w:t>
      </w:r>
    </w:p>
    <w:p w:rsidR="00106A2A" w:rsidRPr="00106A2A" w:rsidRDefault="00106A2A" w:rsidP="00106A2A">
      <w:pPr>
        <w:widowControl/>
        <w:spacing w:before="120" w:after="120" w:line="360" w:lineRule="auto"/>
        <w:ind w:left="851" w:hanging="851"/>
        <w:rPr>
          <w:rFonts w:eastAsia="Calibri"/>
          <w:b/>
          <w:i/>
          <w:szCs w:val="22"/>
          <w:lang w:eastAsia="en-US"/>
        </w:rPr>
      </w:pPr>
      <w:r w:rsidRPr="00106A2A">
        <w:rPr>
          <w:rFonts w:eastAsia="Calibri"/>
          <w:szCs w:val="22"/>
          <w:lang w:eastAsia="en-US"/>
        </w:rPr>
        <w:t>1.</w:t>
      </w:r>
      <w:r w:rsidRPr="00106A2A">
        <w:rPr>
          <w:rFonts w:eastAsia="Calibri"/>
          <w:szCs w:val="22"/>
          <w:lang w:eastAsia="en-US"/>
        </w:rPr>
        <w:tab/>
        <w:t xml:space="preserve">На всеки две години всяка държава членка докладва на Комисията относно изпълнението на своя план </w:t>
      </w:r>
      <w:r w:rsidRPr="00106A2A">
        <w:rPr>
          <w:rFonts w:eastAsia="Calibri"/>
          <w:b/>
          <w:i/>
          <w:szCs w:val="22"/>
          <w:lang w:eastAsia="en-US"/>
        </w:rPr>
        <w:t>заедно с</w:t>
      </w:r>
      <w:r w:rsidRPr="00106A2A">
        <w:rPr>
          <w:rFonts w:eastAsia="Calibri"/>
          <w:szCs w:val="22"/>
          <w:lang w:eastAsia="en-US"/>
        </w:rPr>
        <w:t xml:space="preserve"> интегрирания си национален доклад за напредъка в областта на енергетиката и климата съгласно член 17 от Регламент (ЕС) 2018/1999 и в съответствие с член 28 от същия регламент. </w:t>
      </w:r>
      <w:r w:rsidRPr="00106A2A">
        <w:rPr>
          <w:rFonts w:eastAsia="Calibri"/>
          <w:b/>
          <w:i/>
          <w:szCs w:val="22"/>
          <w:lang w:eastAsia="en-US"/>
        </w:rPr>
        <w:t>Мониторингът на изпълнението е целенасочен и пропорционален на дейностите, извършвани съгласно плана</w:t>
      </w:r>
      <w:r w:rsidRPr="00106A2A">
        <w:rPr>
          <w:rFonts w:eastAsia="Calibri"/>
          <w:szCs w:val="22"/>
          <w:lang w:eastAsia="en-US"/>
        </w:rPr>
        <w:t>.</w:t>
      </w:r>
      <w:r w:rsidRPr="00106A2A">
        <w:rPr>
          <w:rFonts w:eastAsia="Calibri"/>
          <w:b/>
          <w:i/>
          <w:szCs w:val="22"/>
          <w:lang w:eastAsia="en-US"/>
        </w:rPr>
        <w:t xml:space="preserve"> </w:t>
      </w:r>
      <w:r w:rsidRPr="00106A2A">
        <w:rPr>
          <w:rFonts w:eastAsia="Calibri"/>
          <w:szCs w:val="22"/>
          <w:lang w:eastAsia="en-US"/>
        </w:rPr>
        <w:t xml:space="preserve">Държавите членки ▌ включват </w:t>
      </w:r>
      <w:r w:rsidRPr="00106A2A">
        <w:rPr>
          <w:rFonts w:eastAsia="Calibri"/>
          <w:b/>
          <w:i/>
          <w:szCs w:val="22"/>
          <w:lang w:eastAsia="en-US"/>
        </w:rPr>
        <w:t>показателите, посочени в приложение IV</w:t>
      </w:r>
      <w:r w:rsidRPr="00106A2A">
        <w:rPr>
          <w:rFonts w:eastAsia="Calibri"/>
          <w:szCs w:val="22"/>
          <w:lang w:eastAsia="en-US"/>
        </w:rPr>
        <w:t>, в своя доклад за напредъка.</w:t>
      </w:r>
    </w:p>
    <w:p w:rsidR="00106A2A" w:rsidRPr="00106A2A" w:rsidRDefault="00106A2A" w:rsidP="00106A2A">
      <w:pPr>
        <w:widowControl/>
        <w:spacing w:before="120" w:after="120" w:line="360" w:lineRule="auto"/>
        <w:ind w:left="851" w:hanging="851"/>
        <w:jc w:val="both"/>
        <w:rPr>
          <w:rFonts w:eastAsia="Calibri"/>
          <w:szCs w:val="22"/>
          <w:lang w:eastAsia="en-US"/>
        </w:rPr>
      </w:pPr>
      <w:r w:rsidRPr="00106A2A">
        <w:rPr>
          <w:rFonts w:eastAsia="Calibri"/>
          <w:szCs w:val="22"/>
          <w:lang w:eastAsia="en-US"/>
        </w:rPr>
        <w:tab/>
        <w:t>▌</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br w:type="page"/>
        <w:t>2.</w:t>
      </w:r>
      <w:r w:rsidRPr="00106A2A">
        <w:rPr>
          <w:rFonts w:eastAsia="Calibri"/>
          <w:szCs w:val="22"/>
          <w:lang w:eastAsia="en-US"/>
        </w:rPr>
        <w:tab/>
        <w:t>Комисията извършва мониторинг на изпълнението на Фонда и измерва постигането на неговите цели. Мониторингът на изпълнението е целенасочен и пропорционален на дейностите, които се извършват по линия на Фонда.</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3.</w:t>
      </w:r>
      <w:r w:rsidRPr="00106A2A">
        <w:rPr>
          <w:rFonts w:eastAsia="Calibri"/>
          <w:szCs w:val="22"/>
          <w:lang w:eastAsia="en-US"/>
        </w:rPr>
        <w:tab/>
        <w:t>Системата на Комисията за докладване на изпълнението гарантира ефикасното, ефективно и навременно събиране на данните за мониторинга на изпълнението на дейностите и на техните резултати. За тази цел на получателите на подкрепа от Фонда се налагат пропорционални изисквания за докладване.</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szCs w:val="22"/>
          <w:lang w:eastAsia="en-US"/>
        </w:rPr>
        <w:t>4.</w:t>
      </w:r>
      <w:r w:rsidRPr="00106A2A">
        <w:rPr>
          <w:rFonts w:eastAsia="Calibri"/>
          <w:szCs w:val="22"/>
          <w:lang w:eastAsia="en-US"/>
        </w:rPr>
        <w:tab/>
        <w:t xml:space="preserve">Комисията </w:t>
      </w:r>
      <w:r w:rsidRPr="00106A2A">
        <w:rPr>
          <w:rFonts w:eastAsia="Calibri"/>
          <w:b/>
          <w:i/>
          <w:szCs w:val="22"/>
          <w:lang w:eastAsia="en-US"/>
        </w:rPr>
        <w:t>използва общите показатели</w:t>
      </w:r>
      <w:r w:rsidRPr="00106A2A">
        <w:rPr>
          <w:rFonts w:eastAsia="Calibri"/>
          <w:szCs w:val="22"/>
          <w:lang w:eastAsia="en-US"/>
        </w:rPr>
        <w:t xml:space="preserve">, посочени </w:t>
      </w:r>
      <w:r w:rsidRPr="00106A2A">
        <w:rPr>
          <w:rFonts w:eastAsia="Calibri"/>
          <w:b/>
          <w:i/>
          <w:szCs w:val="22"/>
          <w:lang w:eastAsia="en-US"/>
        </w:rPr>
        <w:t>в приложение IV</w:t>
      </w:r>
      <w:r w:rsidRPr="00106A2A">
        <w:rPr>
          <w:rFonts w:eastAsia="Calibri"/>
          <w:szCs w:val="22"/>
          <w:lang w:eastAsia="en-US"/>
        </w:rPr>
        <w:t>, при докладването относно напредъка и за целите на мониторинга и оценката на Фонда във връзка с постигането на целите, посочени в член 3.</w:t>
      </w:r>
    </w:p>
    <w:p w:rsidR="00106A2A" w:rsidRPr="00106A2A" w:rsidRDefault="00106A2A" w:rsidP="00106A2A">
      <w:pPr>
        <w:widowControl/>
        <w:spacing w:before="120" w:after="120" w:line="360" w:lineRule="auto"/>
        <w:rPr>
          <w:rFonts w:eastAsia="Calibri"/>
          <w:b/>
          <w:i/>
          <w:szCs w:val="22"/>
          <w:lang w:eastAsia="en-US"/>
        </w:rPr>
      </w:pPr>
      <w:r w:rsidRPr="00106A2A">
        <w:rPr>
          <w:rFonts w:eastAsia="Calibri"/>
          <w:b/>
          <w:i/>
          <w:szCs w:val="22"/>
          <w:lang w:eastAsia="en-US"/>
        </w:rPr>
        <w:br w:type="page"/>
      </w:r>
    </w:p>
    <w:p w:rsidR="00106A2A" w:rsidRPr="00106A2A" w:rsidRDefault="00106A2A" w:rsidP="00106A2A">
      <w:pPr>
        <w:keepNext/>
        <w:widowControl/>
        <w:spacing w:before="360" w:after="120" w:line="360" w:lineRule="auto"/>
        <w:jc w:val="center"/>
        <w:rPr>
          <w:rFonts w:eastAsia="Calibri"/>
          <w:szCs w:val="22"/>
          <w:lang w:eastAsia="en-US"/>
        </w:rPr>
      </w:pPr>
      <w:r w:rsidRPr="00106A2A">
        <w:rPr>
          <w:rFonts w:eastAsia="Calibri"/>
          <w:b/>
          <w:i/>
          <w:szCs w:val="22"/>
          <w:lang w:eastAsia="en-US"/>
        </w:rPr>
        <w:t>Член 25</w:t>
      </w:r>
      <w:r w:rsidRPr="00106A2A">
        <w:rPr>
          <w:rFonts w:eastAsia="Calibri"/>
          <w:b/>
          <w:i/>
          <w:szCs w:val="22"/>
          <w:lang w:eastAsia="en-US"/>
        </w:rPr>
        <w:br/>
        <w:t>Прозрачност</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b/>
          <w:i/>
          <w:szCs w:val="22"/>
          <w:lang w:eastAsia="en-US"/>
        </w:rPr>
        <w:t>1.</w:t>
      </w:r>
      <w:r w:rsidRPr="00106A2A">
        <w:rPr>
          <w:rFonts w:eastAsia="Calibri"/>
          <w:szCs w:val="22"/>
          <w:lang w:eastAsia="en-US"/>
        </w:rPr>
        <w:tab/>
      </w:r>
      <w:r w:rsidRPr="00106A2A">
        <w:rPr>
          <w:rFonts w:eastAsia="Calibri"/>
          <w:b/>
          <w:i/>
          <w:szCs w:val="22"/>
          <w:lang w:eastAsia="en-US"/>
        </w:rPr>
        <w:t>Комисията предава плановете, представени от държавите членки, и решенията, оповестени публично от Комисията, едновременно и при равни условия, на Европейския парламент и на Съвета без ненужно забавяне.</w:t>
      </w:r>
    </w:p>
    <w:p w:rsidR="00106A2A" w:rsidRPr="00106A2A" w:rsidRDefault="00106A2A" w:rsidP="00106A2A">
      <w:pPr>
        <w:widowControl/>
        <w:spacing w:before="120" w:after="120" w:line="360" w:lineRule="auto"/>
        <w:ind w:left="851" w:hanging="851"/>
        <w:rPr>
          <w:rFonts w:eastAsia="Calibri"/>
          <w:b/>
          <w:i/>
          <w:szCs w:val="22"/>
          <w:lang w:eastAsia="en-US"/>
        </w:rPr>
      </w:pPr>
      <w:r w:rsidRPr="00106A2A">
        <w:rPr>
          <w:rFonts w:eastAsia="Calibri"/>
          <w:b/>
          <w:i/>
          <w:szCs w:val="22"/>
          <w:lang w:eastAsia="en-US"/>
        </w:rPr>
        <w:t>2.</w:t>
      </w:r>
      <w:r w:rsidRPr="00106A2A">
        <w:rPr>
          <w:rFonts w:eastAsia="Calibri"/>
          <w:szCs w:val="22"/>
          <w:lang w:eastAsia="en-US"/>
        </w:rPr>
        <w:tab/>
      </w:r>
      <w:r w:rsidRPr="00106A2A">
        <w:rPr>
          <w:rFonts w:eastAsia="Calibri"/>
          <w:b/>
          <w:i/>
          <w:szCs w:val="22"/>
          <w:lang w:eastAsia="en-US"/>
        </w:rPr>
        <w:t>Информацията, предавана от Комисията на Съвета в рамките на настоящия регламент или неговото прилагане, се предоставя едновременно с това на Европейския парламент при спазване на условия за поверителност, ако е необходимо.</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b/>
          <w:i/>
          <w:szCs w:val="22"/>
          <w:lang w:eastAsia="en-US"/>
        </w:rPr>
        <w:t>3.</w:t>
      </w:r>
      <w:r w:rsidRPr="00106A2A">
        <w:rPr>
          <w:rFonts w:eastAsia="Calibri"/>
          <w:szCs w:val="22"/>
          <w:lang w:eastAsia="en-US"/>
        </w:rPr>
        <w:tab/>
      </w:r>
      <w:r w:rsidRPr="00106A2A">
        <w:rPr>
          <w:rFonts w:eastAsia="Calibri"/>
          <w:b/>
          <w:i/>
          <w:szCs w:val="22"/>
          <w:lang w:eastAsia="en-US"/>
        </w:rPr>
        <w:t>Компетентните комисии на Европейския парламент могат да приканят Комисията да представи информация относно актуалното състояние на извършената от Комисията оценка на плановете.</w:t>
      </w:r>
    </w:p>
    <w:p w:rsidR="00106A2A" w:rsidRPr="00106A2A" w:rsidRDefault="00106A2A" w:rsidP="00106A2A">
      <w:pPr>
        <w:keepNext/>
        <w:widowControl/>
        <w:spacing w:before="360" w:after="120" w:line="360" w:lineRule="auto"/>
        <w:jc w:val="center"/>
        <w:rPr>
          <w:rFonts w:eastAsia="Calibri"/>
          <w:szCs w:val="22"/>
          <w:lang w:eastAsia="en-US"/>
        </w:rPr>
      </w:pPr>
      <w:r w:rsidRPr="00106A2A">
        <w:rPr>
          <w:rFonts w:eastAsia="Calibri"/>
          <w:szCs w:val="22"/>
          <w:lang w:eastAsia="en-US"/>
        </w:rPr>
        <w:br w:type="page"/>
      </w:r>
      <w:r w:rsidRPr="00106A2A">
        <w:rPr>
          <w:rFonts w:eastAsia="Calibri"/>
          <w:b/>
          <w:i/>
          <w:szCs w:val="22"/>
          <w:lang w:eastAsia="en-US"/>
        </w:rPr>
        <w:t>Член 26</w:t>
      </w:r>
      <w:r w:rsidRPr="00106A2A">
        <w:rPr>
          <w:rFonts w:eastAsia="Calibri"/>
          <w:b/>
          <w:i/>
          <w:szCs w:val="22"/>
          <w:lang w:eastAsia="en-US"/>
        </w:rPr>
        <w:br/>
        <w:t>Социален диалог във връзка с климата</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b/>
          <w:i/>
          <w:szCs w:val="22"/>
          <w:lang w:eastAsia="en-US"/>
        </w:rPr>
        <w:t>1.</w:t>
      </w:r>
      <w:r w:rsidRPr="00106A2A">
        <w:rPr>
          <w:rFonts w:eastAsia="Calibri"/>
          <w:szCs w:val="22"/>
          <w:lang w:eastAsia="en-US"/>
        </w:rPr>
        <w:tab/>
      </w:r>
      <w:r w:rsidRPr="00106A2A">
        <w:rPr>
          <w:rFonts w:eastAsia="Calibri"/>
          <w:b/>
          <w:i/>
          <w:szCs w:val="22"/>
          <w:lang w:eastAsia="en-US"/>
        </w:rPr>
        <w:t>С цел да се засили диалогът между институциите на Съюза, по-специално Европейския парламент и Комисията, и да се гарантира по-голяма прозрачност и отчетност, компетентните комисии на Европейския парламент могат да канят два пъти годишно Комисията за обсъждане на следните въпроси:</w:t>
      </w:r>
    </w:p>
    <w:p w:rsidR="00106A2A" w:rsidRPr="00106A2A" w:rsidRDefault="00106A2A" w:rsidP="00106A2A">
      <w:pPr>
        <w:widowControl/>
        <w:spacing w:before="120" w:after="120" w:line="360" w:lineRule="auto"/>
        <w:ind w:left="1418" w:hanging="567"/>
        <w:jc w:val="both"/>
        <w:rPr>
          <w:rFonts w:eastAsia="Calibri"/>
          <w:szCs w:val="22"/>
          <w:lang w:eastAsia="en-US"/>
        </w:rPr>
      </w:pPr>
      <w:r w:rsidRPr="00106A2A">
        <w:rPr>
          <w:rFonts w:eastAsia="Calibri"/>
          <w:b/>
          <w:i/>
          <w:szCs w:val="22"/>
          <w:lang w:eastAsia="en-US"/>
        </w:rPr>
        <w:t>a)</w:t>
      </w:r>
      <w:r w:rsidRPr="00106A2A">
        <w:rPr>
          <w:rFonts w:eastAsia="Calibri"/>
          <w:szCs w:val="22"/>
          <w:lang w:eastAsia="en-US"/>
        </w:rPr>
        <w:tab/>
      </w:r>
      <w:r w:rsidRPr="00106A2A">
        <w:rPr>
          <w:rFonts w:eastAsia="Calibri"/>
          <w:b/>
          <w:i/>
          <w:szCs w:val="22"/>
          <w:lang w:eastAsia="en-US"/>
        </w:rPr>
        <w:t>плановете, представени от държавите членки;</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b/>
          <w:i/>
          <w:szCs w:val="22"/>
          <w:lang w:eastAsia="en-US"/>
        </w:rPr>
        <w:t>б)</w:t>
      </w:r>
      <w:r w:rsidRPr="00106A2A">
        <w:rPr>
          <w:rFonts w:eastAsia="Calibri"/>
          <w:szCs w:val="22"/>
          <w:lang w:eastAsia="en-US"/>
        </w:rPr>
        <w:tab/>
      </w:r>
      <w:r w:rsidRPr="00106A2A">
        <w:rPr>
          <w:rFonts w:eastAsia="Calibri"/>
          <w:b/>
          <w:i/>
          <w:szCs w:val="22"/>
          <w:lang w:eastAsia="en-US"/>
        </w:rPr>
        <w:t>оценката от страна на Комисията на плановете, представени от държавите членки;</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b/>
          <w:i/>
          <w:szCs w:val="22"/>
          <w:lang w:eastAsia="en-US"/>
        </w:rPr>
        <w:t>в)</w:t>
      </w:r>
      <w:r w:rsidRPr="00106A2A">
        <w:rPr>
          <w:rFonts w:eastAsia="Calibri"/>
          <w:szCs w:val="22"/>
          <w:lang w:eastAsia="en-US"/>
        </w:rPr>
        <w:tab/>
      </w:r>
      <w:r w:rsidRPr="00106A2A">
        <w:rPr>
          <w:rFonts w:eastAsia="Calibri"/>
          <w:b/>
          <w:i/>
          <w:szCs w:val="22"/>
          <w:lang w:eastAsia="en-US"/>
        </w:rPr>
        <w:t>състоянието на постигането на междинните цели и целевите стойности, определени в плановете, представени от държавите членки;</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b/>
          <w:i/>
          <w:szCs w:val="22"/>
          <w:lang w:eastAsia="en-US"/>
        </w:rPr>
        <w:t>г)</w:t>
      </w:r>
      <w:r w:rsidRPr="00106A2A">
        <w:rPr>
          <w:rFonts w:eastAsia="Calibri"/>
          <w:szCs w:val="22"/>
          <w:lang w:eastAsia="en-US"/>
        </w:rPr>
        <w:tab/>
      </w:r>
      <w:r w:rsidRPr="00106A2A">
        <w:rPr>
          <w:rFonts w:eastAsia="Calibri"/>
          <w:b/>
          <w:i/>
          <w:szCs w:val="22"/>
          <w:lang w:eastAsia="en-US"/>
        </w:rPr>
        <w:t>процедурите за плащане, спиране и прекратяване, включително всички представени наблюдения и коригиращи мерки, предприети от държавите членки, за да се гарантира задоволителното постигане на междинните цели и на целевите стойности, определени в представените от тях планове.</w:t>
      </w:r>
    </w:p>
    <w:p w:rsidR="00106A2A" w:rsidRPr="00106A2A" w:rsidRDefault="00106A2A" w:rsidP="00106A2A">
      <w:pPr>
        <w:widowControl/>
        <w:spacing w:before="120" w:after="120" w:line="360" w:lineRule="auto"/>
        <w:ind w:left="851" w:hanging="851"/>
        <w:rPr>
          <w:rFonts w:eastAsia="Calibri"/>
          <w:szCs w:val="22"/>
          <w:lang w:eastAsia="en-US"/>
        </w:rPr>
      </w:pPr>
      <w:r w:rsidRPr="00106A2A">
        <w:rPr>
          <w:rFonts w:eastAsia="Calibri"/>
          <w:b/>
          <w:i/>
          <w:szCs w:val="22"/>
          <w:lang w:eastAsia="en-US"/>
        </w:rPr>
        <w:t>2.</w:t>
      </w:r>
      <w:r w:rsidRPr="00106A2A">
        <w:rPr>
          <w:rFonts w:eastAsia="Calibri"/>
          <w:szCs w:val="22"/>
          <w:lang w:eastAsia="en-US"/>
        </w:rPr>
        <w:tab/>
      </w:r>
      <w:r w:rsidRPr="00106A2A">
        <w:rPr>
          <w:rFonts w:eastAsia="Calibri"/>
          <w:b/>
          <w:i/>
          <w:szCs w:val="22"/>
          <w:lang w:eastAsia="en-US"/>
        </w:rPr>
        <w:t>Комисията взема предвид всички елементи, произтичащи от становищата, изразени чрез социалния диалог във връзка с климата, включително резолюциите на Европейския парламент, ако има такива.</w:t>
      </w:r>
    </w:p>
    <w:p w:rsidR="00106A2A" w:rsidRPr="00106A2A" w:rsidRDefault="00106A2A" w:rsidP="00106A2A">
      <w:pPr>
        <w:widowControl/>
        <w:spacing w:before="360" w:after="120" w:line="360" w:lineRule="auto"/>
        <w:jc w:val="center"/>
        <w:rPr>
          <w:rFonts w:eastAsia="Calibri"/>
          <w:sz w:val="28"/>
          <w:szCs w:val="22"/>
          <w:lang w:eastAsia="en-US"/>
        </w:rPr>
      </w:pPr>
      <w:r w:rsidRPr="00106A2A">
        <w:rPr>
          <w:rFonts w:eastAsia="Calibri"/>
          <w:szCs w:val="22"/>
          <w:lang w:eastAsia="en-US"/>
        </w:rPr>
        <w:br w:type="page"/>
      </w:r>
      <w:r w:rsidRPr="00106A2A">
        <w:rPr>
          <w:rFonts w:eastAsia="Calibri"/>
          <w:sz w:val="28"/>
          <w:szCs w:val="22"/>
          <w:lang w:eastAsia="en-US"/>
        </w:rPr>
        <w:t>ГЛАВА V</w:t>
      </w:r>
      <w:r w:rsidRPr="00106A2A">
        <w:rPr>
          <w:rFonts w:eastAsia="Calibri"/>
          <w:sz w:val="28"/>
          <w:szCs w:val="22"/>
          <w:lang w:eastAsia="en-US"/>
        </w:rPr>
        <w:br/>
        <w:t>ЗАКЛЮЧИТЕЛНИ РАЗПОРЕДБИ</w:t>
      </w:r>
    </w:p>
    <w:p w:rsidR="00106A2A" w:rsidRPr="00106A2A" w:rsidRDefault="00106A2A" w:rsidP="00106A2A">
      <w:pPr>
        <w:keepNext/>
        <w:widowControl/>
        <w:spacing w:before="120" w:after="120" w:line="360" w:lineRule="auto"/>
        <w:jc w:val="center"/>
        <w:rPr>
          <w:rFonts w:eastAsia="Calibri"/>
          <w:szCs w:val="22"/>
          <w:lang w:eastAsia="en-US"/>
        </w:rPr>
      </w:pPr>
      <w:r w:rsidRPr="00106A2A">
        <w:rPr>
          <w:rFonts w:eastAsia="Calibri"/>
          <w:szCs w:val="22"/>
          <w:lang w:eastAsia="en-US"/>
        </w:rPr>
        <w:t>Член 27</w:t>
      </w:r>
      <w:r w:rsidRPr="00106A2A">
        <w:rPr>
          <w:rFonts w:eastAsia="Calibri"/>
          <w:szCs w:val="22"/>
          <w:lang w:eastAsia="en-US"/>
        </w:rPr>
        <w:br/>
        <w:t>Оценка и преразглеждане на Фонда</w:t>
      </w:r>
    </w:p>
    <w:p w:rsidR="00106A2A" w:rsidRPr="00106A2A" w:rsidRDefault="00106A2A" w:rsidP="00106A2A">
      <w:pPr>
        <w:widowControl/>
        <w:spacing w:before="120" w:after="120" w:line="360" w:lineRule="auto"/>
        <w:ind w:left="851" w:hanging="851"/>
        <w:rPr>
          <w:rFonts w:eastAsia="Calibri"/>
          <w:b/>
          <w:i/>
          <w:szCs w:val="22"/>
          <w:lang w:eastAsia="en-US"/>
        </w:rPr>
      </w:pPr>
      <w:r w:rsidRPr="00106A2A">
        <w:rPr>
          <w:rFonts w:eastAsia="Calibri"/>
          <w:szCs w:val="22"/>
          <w:lang w:eastAsia="en-US"/>
        </w:rPr>
        <w:t>1.</w:t>
      </w:r>
      <w:r w:rsidRPr="00106A2A">
        <w:rPr>
          <w:rFonts w:eastAsia="Calibri"/>
          <w:szCs w:val="22"/>
          <w:lang w:eastAsia="en-US"/>
        </w:rPr>
        <w:tab/>
      </w:r>
      <w:r w:rsidRPr="00106A2A">
        <w:rPr>
          <w:rFonts w:eastAsia="Calibri"/>
          <w:b/>
          <w:i/>
          <w:szCs w:val="22"/>
          <w:lang w:eastAsia="en-US"/>
        </w:rPr>
        <w:t>Две години след началото на изпълнението на плановете</w:t>
      </w:r>
      <w:r w:rsidRPr="00106A2A">
        <w:rPr>
          <w:rFonts w:eastAsia="Calibri"/>
          <w:szCs w:val="22"/>
          <w:lang w:eastAsia="en-US"/>
        </w:rPr>
        <w:t xml:space="preserve"> Комисията представя на Европейския парламент, Съвета, Европейския икономически и социален комитет и Комитета на регионите доклад за оценка на изпълнението и функционирането на Фонда</w:t>
      </w:r>
      <w:r w:rsidRPr="00106A2A">
        <w:rPr>
          <w:rFonts w:eastAsia="Calibri"/>
          <w:b/>
          <w:i/>
          <w:szCs w:val="22"/>
          <w:lang w:eastAsia="en-US"/>
        </w:rPr>
        <w:t>, като взема предвид резултатите от първите доклади, представени от държавите членки в съответствие с член 24, и внася, ако е целесъобразно, предложения за изменения на настоящия регламент</w:t>
      </w:r>
      <w:r w:rsidRPr="00106A2A">
        <w:rPr>
          <w:rFonts w:eastAsia="Calibri"/>
          <w:szCs w:val="22"/>
          <w:lang w:eastAsia="en-US"/>
        </w:rPr>
        <w:t>.</w:t>
      </w:r>
    </w:p>
    <w:p w:rsidR="00106A2A" w:rsidRPr="00106A2A" w:rsidRDefault="00106A2A" w:rsidP="00106A2A">
      <w:pPr>
        <w:widowControl/>
        <w:spacing w:before="120" w:after="120" w:line="360" w:lineRule="auto"/>
        <w:ind w:left="851" w:hanging="851"/>
        <w:jc w:val="both"/>
        <w:rPr>
          <w:rFonts w:eastAsia="Calibri"/>
          <w:szCs w:val="22"/>
          <w:lang w:eastAsia="en-US"/>
        </w:rPr>
      </w:pPr>
      <w:r w:rsidRPr="00106A2A">
        <w:rPr>
          <w:rFonts w:eastAsia="Calibri"/>
          <w:szCs w:val="22"/>
          <w:lang w:eastAsia="en-US"/>
        </w:rPr>
        <w:t>▌</w:t>
      </w:r>
    </w:p>
    <w:p w:rsidR="00106A2A" w:rsidRPr="00106A2A" w:rsidRDefault="00106A2A" w:rsidP="00106A2A">
      <w:pPr>
        <w:widowControl/>
        <w:spacing w:before="120" w:after="120" w:line="360" w:lineRule="auto"/>
        <w:ind w:left="851" w:hanging="851"/>
        <w:jc w:val="both"/>
        <w:rPr>
          <w:rFonts w:eastAsia="Calibri"/>
          <w:szCs w:val="22"/>
          <w:lang w:eastAsia="en-US"/>
        </w:rPr>
      </w:pPr>
      <w:r w:rsidRPr="00106A2A">
        <w:rPr>
          <w:rFonts w:eastAsia="Calibri"/>
          <w:szCs w:val="22"/>
          <w:lang w:eastAsia="en-US"/>
        </w:rPr>
        <w:t>2.</w:t>
      </w:r>
      <w:r w:rsidRPr="00106A2A">
        <w:rPr>
          <w:rFonts w:eastAsia="Calibri"/>
          <w:szCs w:val="22"/>
          <w:lang w:eastAsia="en-US"/>
        </w:rPr>
        <w:tab/>
        <w:t xml:space="preserve">В доклада за оценка, </w:t>
      </w:r>
      <w:r w:rsidRPr="00106A2A">
        <w:rPr>
          <w:rFonts w:eastAsia="Calibri"/>
          <w:b/>
          <w:i/>
          <w:szCs w:val="22"/>
          <w:lang w:eastAsia="en-US"/>
        </w:rPr>
        <w:t>посочен в параграф 1, се оценяват по-специално:</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b/>
          <w:i/>
          <w:szCs w:val="22"/>
          <w:lang w:eastAsia="en-US"/>
        </w:rPr>
        <w:t>a)</w:t>
      </w:r>
      <w:r w:rsidRPr="00106A2A">
        <w:rPr>
          <w:rFonts w:eastAsia="Calibri"/>
          <w:szCs w:val="22"/>
          <w:lang w:eastAsia="en-US"/>
        </w:rPr>
        <w:tab/>
      </w:r>
      <w:r w:rsidRPr="00106A2A">
        <w:rPr>
          <w:rFonts w:eastAsia="Calibri"/>
          <w:b/>
          <w:i/>
          <w:szCs w:val="22"/>
          <w:lang w:eastAsia="en-US"/>
        </w:rPr>
        <w:t>степента, до която са постигнати определените в член 3 цели на Фонда, ефективността на използването на ресурсите и добавената стойност от Съюза;</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b/>
          <w:i/>
          <w:szCs w:val="22"/>
          <w:lang w:eastAsia="en-US"/>
        </w:rPr>
        <w:t>б)</w:t>
      </w:r>
      <w:r w:rsidRPr="00106A2A">
        <w:rPr>
          <w:rFonts w:eastAsia="Calibri"/>
          <w:szCs w:val="22"/>
          <w:lang w:eastAsia="en-US"/>
        </w:rPr>
        <w:tab/>
      </w:r>
      <w:r w:rsidRPr="00106A2A">
        <w:rPr>
          <w:rFonts w:eastAsia="Calibri"/>
          <w:b/>
          <w:i/>
          <w:szCs w:val="22"/>
          <w:lang w:eastAsia="en-US"/>
        </w:rPr>
        <w:t>за всяка отделна държава — ефективността на мерките и инвестициите и използването на прякото подпомагане на доходите с оглед на постигането на междинните цели и целевите стойности, заложени в плановете;</w:t>
      </w:r>
    </w:p>
    <w:p w:rsidR="00106A2A" w:rsidRPr="00106A2A" w:rsidRDefault="00106A2A" w:rsidP="00106A2A">
      <w:pPr>
        <w:widowControl/>
        <w:spacing w:before="120" w:after="120" w:line="360" w:lineRule="auto"/>
        <w:ind w:left="1418" w:hanging="567"/>
        <w:rPr>
          <w:rFonts w:eastAsia="Calibri"/>
          <w:b/>
          <w:i/>
          <w:szCs w:val="22"/>
          <w:lang w:eastAsia="en-US"/>
        </w:rPr>
      </w:pPr>
      <w:r w:rsidRPr="00106A2A">
        <w:rPr>
          <w:rFonts w:eastAsia="Calibri"/>
          <w:b/>
          <w:i/>
          <w:szCs w:val="22"/>
          <w:lang w:eastAsia="en-US"/>
        </w:rPr>
        <w:t>в)</w:t>
      </w:r>
      <w:r w:rsidRPr="00106A2A">
        <w:rPr>
          <w:rFonts w:eastAsia="Calibri"/>
          <w:szCs w:val="22"/>
          <w:lang w:eastAsia="en-US"/>
        </w:rPr>
        <w:tab/>
      </w:r>
      <w:r w:rsidRPr="00106A2A">
        <w:rPr>
          <w:rFonts w:eastAsia="Calibri"/>
          <w:b/>
          <w:i/>
          <w:szCs w:val="22"/>
          <w:lang w:eastAsia="en-US"/>
        </w:rPr>
        <w:t>как се прилагат определенията за енергийна бедност и транспортна бедност в държавите членки въз основа на информацията, посочена в член 6, параграф 1, буква е), както и дали са необходими изменения на тези определения;</w:t>
      </w:r>
    </w:p>
    <w:p w:rsidR="00106A2A" w:rsidRPr="00106A2A" w:rsidRDefault="00106A2A" w:rsidP="00106A2A">
      <w:pPr>
        <w:widowControl/>
        <w:spacing w:before="120" w:after="120" w:line="360" w:lineRule="auto"/>
        <w:ind w:left="1418" w:hanging="567"/>
        <w:rPr>
          <w:rFonts w:eastAsia="Calibri"/>
          <w:szCs w:val="22"/>
          <w:lang w:eastAsia="en-US"/>
        </w:rPr>
      </w:pPr>
      <w:r w:rsidRPr="00106A2A">
        <w:rPr>
          <w:rFonts w:eastAsia="Calibri"/>
          <w:b/>
          <w:i/>
          <w:szCs w:val="22"/>
          <w:lang w:eastAsia="en-US"/>
        </w:rPr>
        <w:br w:type="page"/>
        <w:t>г)</w:t>
      </w:r>
      <w:r w:rsidRPr="00106A2A">
        <w:rPr>
          <w:rFonts w:eastAsia="Calibri"/>
          <w:b/>
          <w:i/>
          <w:szCs w:val="22"/>
          <w:lang w:eastAsia="en-US"/>
        </w:rPr>
        <w:tab/>
        <w:t>дали продължават да са целесъобразни всички цели и мерки и инвестиции, определени в член 8, като се имат предвидвъздействието върху емисиите на парникови газове на включването на емисиите на парникови газове от сградите и автомобилния транспорт в приложното поле на Директива 2003/87/ЕО и предприетите от държавите членки национални мерки за изпълнение на задължителните годишни цели за намаление на емисиите на парникови газове съгласно Регламент (ЕС) 2018/842 на Европейския парламент и на Съвета</w:t>
      </w:r>
      <w:r w:rsidRPr="00106A2A">
        <w:rPr>
          <w:rFonts w:eastAsia="Calibri"/>
          <w:b/>
          <w:i/>
          <w:szCs w:val="22"/>
          <w:vertAlign w:val="superscript"/>
          <w:lang w:eastAsia="en-US"/>
        </w:rPr>
        <w:footnoteReference w:id="36"/>
      </w:r>
      <w:r w:rsidRPr="00106A2A">
        <w:rPr>
          <w:rFonts w:eastAsia="Calibri"/>
          <w:b/>
          <w:i/>
          <w:szCs w:val="22"/>
          <w:lang w:eastAsia="en-US"/>
        </w:rPr>
        <w:t>, както и дали продължават да са целесъобразни целевите приходи във връзка с възможни промени относно продажбата на квоти чрез търг съгласно системата за търговия с квоти за емисии на парникови газове за сградите, автомобилния транспорт и допълнителни сектори съгласно глава IVa от Директива 2003/87/ЕО и други съотносими съображения.</w:t>
      </w:r>
    </w:p>
    <w:p w:rsidR="00106A2A" w:rsidRPr="00106A2A" w:rsidRDefault="00106A2A" w:rsidP="00106A2A">
      <w:pPr>
        <w:widowControl/>
        <w:spacing w:before="120" w:after="120" w:line="312" w:lineRule="auto"/>
        <w:ind w:left="851" w:hanging="851"/>
        <w:jc w:val="both"/>
        <w:rPr>
          <w:rFonts w:eastAsia="Calibri"/>
          <w:szCs w:val="22"/>
          <w:lang w:eastAsia="en-US"/>
        </w:rPr>
      </w:pPr>
      <w:r w:rsidRPr="00106A2A">
        <w:rPr>
          <w:rFonts w:eastAsia="Calibri"/>
          <w:szCs w:val="22"/>
          <w:lang w:eastAsia="en-US"/>
        </w:rPr>
        <w:t>▌</w:t>
      </w:r>
    </w:p>
    <w:p w:rsidR="00106A2A" w:rsidRPr="00106A2A" w:rsidRDefault="00106A2A" w:rsidP="00106A2A">
      <w:pPr>
        <w:widowControl/>
        <w:spacing w:before="120" w:after="120" w:line="312" w:lineRule="auto"/>
        <w:ind w:left="851" w:hanging="851"/>
        <w:rPr>
          <w:rFonts w:eastAsia="Calibri"/>
          <w:szCs w:val="22"/>
          <w:lang w:eastAsia="en-US"/>
        </w:rPr>
      </w:pPr>
      <w:r w:rsidRPr="00106A2A">
        <w:rPr>
          <w:rFonts w:eastAsia="Calibri"/>
          <w:b/>
          <w:i/>
          <w:szCs w:val="22"/>
          <w:lang w:eastAsia="en-US"/>
        </w:rPr>
        <w:t>3.</w:t>
      </w:r>
      <w:r w:rsidRPr="00106A2A">
        <w:rPr>
          <w:rFonts w:eastAsia="Calibri"/>
          <w:szCs w:val="22"/>
          <w:lang w:eastAsia="en-US"/>
        </w:rPr>
        <w:tab/>
      </w:r>
      <w:r w:rsidRPr="00106A2A">
        <w:rPr>
          <w:rFonts w:eastAsia="Calibri"/>
          <w:b/>
          <w:i/>
          <w:szCs w:val="22"/>
          <w:lang w:eastAsia="en-US"/>
        </w:rPr>
        <w:t>До 31 декември 2033 г. Комисията представя на Европейския парламент, Съвета, Европейския икономически и социален комитет и Комитета на регионите доклад от независима последваща оценка.</w:t>
      </w:r>
      <w:r w:rsidRPr="00106A2A">
        <w:rPr>
          <w:rFonts w:eastAsia="Calibri"/>
          <w:szCs w:val="22"/>
          <w:lang w:eastAsia="en-US"/>
        </w:rPr>
        <w:t xml:space="preserve"> Докладът от последващата оценка се състои от обща оценка на Фонда и включва информация относно неговото въздействие.</w:t>
      </w:r>
    </w:p>
    <w:p w:rsidR="00106A2A" w:rsidRPr="00106A2A" w:rsidRDefault="00106A2A" w:rsidP="00106A2A">
      <w:pPr>
        <w:widowControl/>
        <w:spacing w:before="120" w:after="120" w:line="312" w:lineRule="auto"/>
        <w:ind w:left="851" w:hanging="851"/>
        <w:rPr>
          <w:rFonts w:eastAsia="Calibri"/>
          <w:szCs w:val="22"/>
          <w:lang w:eastAsia="en-US"/>
        </w:rPr>
      </w:pPr>
      <w:r w:rsidRPr="00106A2A">
        <w:rPr>
          <w:rFonts w:eastAsia="Calibri"/>
          <w:b/>
          <w:i/>
          <w:szCs w:val="22"/>
          <w:lang w:eastAsia="en-US"/>
        </w:rPr>
        <w:t>4.</w:t>
      </w:r>
      <w:r w:rsidRPr="00106A2A">
        <w:rPr>
          <w:rFonts w:eastAsia="Calibri"/>
          <w:szCs w:val="22"/>
          <w:lang w:eastAsia="en-US"/>
        </w:rPr>
        <w:tab/>
      </w:r>
      <w:r w:rsidRPr="00106A2A">
        <w:rPr>
          <w:rFonts w:eastAsia="Calibri"/>
          <w:b/>
          <w:i/>
          <w:szCs w:val="22"/>
          <w:lang w:eastAsia="en-US"/>
        </w:rPr>
        <w:t>Без да се засяга многогодишната финансова рамка след 2027 г., в случай че приходите от продажбата на квоти чрез търг, посочена в член 30г, параграф 5 от Директива 2003/87/ЕО, бъдат установени като собствени ресурси в съответствие с член 311, трета алинея от ДФЕС, Комисията представя по целесъобразност необходимите предложения, за да се гарантират в рамките на многогодишната финансова рамка след 2027 г. ефективността и непрекъснатостта на изпълнението на Фонда, който се финансира временно и извънредно от външни целеви приходи, генерирани от квоти по системата за търговия с емисии.</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jc w:val="center"/>
        <w:rPr>
          <w:rFonts w:eastAsia="Calibri"/>
          <w:szCs w:val="22"/>
          <w:lang w:eastAsia="en-US"/>
        </w:rPr>
      </w:pPr>
      <w:r w:rsidRPr="00106A2A">
        <w:rPr>
          <w:rFonts w:eastAsia="Calibri"/>
          <w:szCs w:val="22"/>
          <w:lang w:eastAsia="en-US"/>
        </w:rPr>
        <w:t>▌</w:t>
      </w:r>
    </w:p>
    <w:p w:rsidR="00106A2A" w:rsidRPr="00106A2A" w:rsidRDefault="00106A2A" w:rsidP="00106A2A">
      <w:pPr>
        <w:keepNext/>
        <w:widowControl/>
        <w:spacing w:before="360" w:after="120" w:line="360" w:lineRule="auto"/>
        <w:jc w:val="center"/>
        <w:rPr>
          <w:rFonts w:eastAsia="Calibri"/>
          <w:b/>
          <w:i/>
          <w:szCs w:val="22"/>
          <w:lang w:eastAsia="en-US"/>
        </w:rPr>
      </w:pPr>
      <w:r w:rsidRPr="00106A2A">
        <w:rPr>
          <w:rFonts w:eastAsia="Calibri"/>
          <w:b/>
          <w:i/>
          <w:szCs w:val="22"/>
          <w:lang w:eastAsia="en-US"/>
        </w:rPr>
        <w:t>Член 28</w:t>
      </w:r>
      <w:r w:rsidRPr="00106A2A">
        <w:rPr>
          <w:rFonts w:eastAsia="Calibri"/>
          <w:b/>
          <w:i/>
          <w:szCs w:val="22"/>
          <w:lang w:eastAsia="en-US"/>
        </w:rPr>
        <w:br/>
        <w:t>Изменение на Регламент (ЕС) 2021/1060</w:t>
      </w:r>
    </w:p>
    <w:p w:rsidR="00106A2A" w:rsidRPr="00106A2A" w:rsidRDefault="00106A2A" w:rsidP="00106A2A">
      <w:pPr>
        <w:widowControl/>
        <w:spacing w:before="120" w:after="120" w:line="360" w:lineRule="auto"/>
        <w:rPr>
          <w:rFonts w:eastAsia="Calibri"/>
          <w:b/>
          <w:i/>
          <w:szCs w:val="22"/>
          <w:lang w:eastAsia="en-US"/>
        </w:rPr>
      </w:pPr>
      <w:r w:rsidRPr="00106A2A">
        <w:rPr>
          <w:rFonts w:eastAsia="Calibri"/>
          <w:b/>
          <w:i/>
          <w:szCs w:val="22"/>
          <w:lang w:eastAsia="en-US"/>
        </w:rPr>
        <w:t>В Регламент (ЕС) 2021/1060 се вмъква следният член:</w:t>
      </w:r>
    </w:p>
    <w:p w:rsidR="00106A2A" w:rsidRPr="00106A2A" w:rsidRDefault="00106A2A" w:rsidP="00106A2A">
      <w:pPr>
        <w:widowControl/>
        <w:spacing w:before="120" w:after="120" w:line="360" w:lineRule="auto"/>
        <w:rPr>
          <w:rFonts w:eastAsia="Calibri"/>
          <w:b/>
          <w:i/>
          <w:szCs w:val="22"/>
          <w:lang w:eastAsia="en-US"/>
        </w:rPr>
      </w:pPr>
      <w:r w:rsidRPr="00106A2A">
        <w:rPr>
          <w:rFonts w:eastAsia="Calibri"/>
          <w:b/>
          <w:i/>
          <w:szCs w:val="22"/>
          <w:lang w:eastAsia="en-US"/>
        </w:rPr>
        <w:t>„Член 26a</w:t>
      </w:r>
    </w:p>
    <w:p w:rsidR="00106A2A" w:rsidRPr="00106A2A" w:rsidRDefault="00106A2A" w:rsidP="00106A2A">
      <w:pPr>
        <w:widowControl/>
        <w:spacing w:before="120" w:after="120" w:line="360" w:lineRule="auto"/>
        <w:rPr>
          <w:rFonts w:eastAsia="Calibri"/>
          <w:b/>
          <w:i/>
          <w:szCs w:val="22"/>
          <w:lang w:eastAsia="en-US"/>
        </w:rPr>
      </w:pPr>
      <w:r w:rsidRPr="00106A2A">
        <w:rPr>
          <w:rFonts w:eastAsia="Calibri"/>
          <w:b/>
          <w:i/>
          <w:szCs w:val="22"/>
          <w:lang w:eastAsia="en-US"/>
        </w:rPr>
        <w:t>Прехвърляне на ресурси  от Социалния фонд за климата</w:t>
      </w:r>
    </w:p>
    <w:p w:rsidR="00106A2A" w:rsidRPr="00106A2A" w:rsidRDefault="00106A2A" w:rsidP="00106A2A">
      <w:pPr>
        <w:widowControl/>
        <w:spacing w:before="120" w:after="120" w:line="360" w:lineRule="auto"/>
        <w:ind w:left="720" w:hanging="720"/>
        <w:rPr>
          <w:rFonts w:eastAsia="Calibri"/>
          <w:b/>
          <w:i/>
          <w:szCs w:val="22"/>
          <w:lang w:eastAsia="en-US"/>
        </w:rPr>
      </w:pPr>
      <w:r w:rsidRPr="00106A2A">
        <w:rPr>
          <w:rFonts w:eastAsia="Calibri"/>
          <w:b/>
          <w:i/>
          <w:szCs w:val="22"/>
          <w:lang w:eastAsia="en-US"/>
        </w:rPr>
        <w:t>1.</w:t>
      </w:r>
      <w:r w:rsidRPr="00106A2A">
        <w:rPr>
          <w:rFonts w:eastAsia="Calibri"/>
          <w:b/>
          <w:i/>
          <w:szCs w:val="22"/>
          <w:lang w:eastAsia="en-US"/>
        </w:rPr>
        <w:tab/>
        <w:t>Прехвърлените ресурси от Социалния фонд за климата, създаден с Регламент (ЕС) …/… на Европейския парламент и на Съвета*</w:t>
      </w:r>
      <w:r w:rsidRPr="00106A2A">
        <w:rPr>
          <w:rFonts w:eastAsia="Calibri"/>
          <w:b/>
          <w:i/>
          <w:szCs w:val="22"/>
          <w:vertAlign w:val="superscript"/>
          <w:lang w:eastAsia="en-US"/>
        </w:rPr>
        <w:footnoteReference w:customMarkFollows="1" w:id="37"/>
        <w:t>+</w:t>
      </w:r>
      <w:r w:rsidRPr="00106A2A">
        <w:rPr>
          <w:rFonts w:eastAsia="Calibri"/>
          <w:b/>
          <w:i/>
          <w:szCs w:val="22"/>
          <w:lang w:eastAsia="en-US"/>
        </w:rPr>
        <w:t>, се изпълняват в съответствие с настоящия регламент и разпоредбите, уреждащи фонда, към който те се прехвърлят, като прехвърлянията са окончателни. Тези ресурси представляват външни целеви приходи за целите на член 21, параграф 5 от Регламент (ЕС, Евратом) 2018/1046 и са в допълнение към ресурсите, посочени в член 110 от настоящия регламент.</w:t>
      </w:r>
    </w:p>
    <w:p w:rsidR="00106A2A" w:rsidRPr="00106A2A" w:rsidRDefault="00106A2A" w:rsidP="00106A2A">
      <w:pPr>
        <w:widowControl/>
        <w:spacing w:before="120" w:after="120" w:line="360" w:lineRule="auto"/>
        <w:rPr>
          <w:rFonts w:eastAsia="Calibri"/>
          <w:b/>
          <w: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720" w:hanging="720"/>
        <w:rPr>
          <w:rFonts w:eastAsia="Calibri"/>
          <w:b/>
          <w:i/>
          <w:szCs w:val="22"/>
          <w:lang w:eastAsia="en-US"/>
        </w:rPr>
      </w:pPr>
      <w:r w:rsidRPr="00106A2A">
        <w:rPr>
          <w:rFonts w:eastAsia="Calibri"/>
          <w:b/>
          <w:i/>
          <w:szCs w:val="22"/>
          <w:lang w:eastAsia="en-US"/>
        </w:rPr>
        <w:t>2.</w:t>
      </w:r>
      <w:r w:rsidRPr="00106A2A">
        <w:rPr>
          <w:rFonts w:eastAsia="Calibri"/>
          <w:b/>
          <w:i/>
          <w:szCs w:val="22"/>
          <w:lang w:eastAsia="en-US"/>
        </w:rPr>
        <w:tab/>
        <w:t>Когато държавите членки изпълняват ресурсите, посочени в параграф 1 от настоящия член, при условията на споделено управление, те представят изменения на програмите в съответствие с член 24 от настоящия регламент, отнасящи се до една или повече програми. Държавите членки планират използването на тези ресурси за постигане на целите в областта на климата, определени за бюджета на Съюза в съответствие с член 6, параграф 1 от настоящия регламент. Тези ресурси допринасят за постигането на съответните цели на Социалния фонд за климата, посочени в член 3 от Регламент (ЕС) .../...</w:t>
      </w:r>
      <w:r w:rsidRPr="00106A2A">
        <w:rPr>
          <w:rFonts w:eastAsia="Calibri"/>
          <w:b/>
          <w:i/>
          <w:szCs w:val="22"/>
          <w:vertAlign w:val="superscript"/>
          <w:lang w:eastAsia="en-US"/>
        </w:rPr>
        <w:footnoteReference w:customMarkFollows="1" w:id="38"/>
        <w:t>+</w:t>
      </w:r>
      <w:r w:rsidRPr="00106A2A">
        <w:rPr>
          <w:rFonts w:eastAsia="Calibri"/>
          <w:b/>
          <w:i/>
          <w:szCs w:val="22"/>
          <w:lang w:eastAsia="en-US"/>
        </w:rPr>
        <w:t>, и се използват за подкрепа на мерките и инвестициите, предвидени в член 8 от посочения регламент. Те се програмират в рамките на един или повече специфични приоритета, съответстващи на една или повече специфични цели на фонда, към който се прехвърлят ресурсите, и за една или повече категории региони, когато е приложимо, като се посочва годишното разпределение на средствата. Те не се вземат предвид при изчисляването на съответствието с изискванията за тематична концентрация, определени в правилата за отделните фондове.</w:t>
      </w:r>
    </w:p>
    <w:p w:rsidR="00106A2A" w:rsidRPr="00106A2A" w:rsidRDefault="00106A2A" w:rsidP="00106A2A">
      <w:pPr>
        <w:widowControl/>
        <w:spacing w:before="120" w:after="120" w:line="360" w:lineRule="auto"/>
        <w:ind w:left="720" w:hanging="720"/>
        <w:rPr>
          <w:rFonts w:eastAsia="Calibri"/>
          <w:b/>
          <w:i/>
          <w:szCs w:val="22"/>
          <w:lang w:eastAsia="en-US"/>
        </w:rPr>
      </w:pPr>
      <w:r w:rsidRPr="00106A2A">
        <w:rPr>
          <w:rFonts w:eastAsia="Calibri"/>
          <w:b/>
          <w:i/>
          <w:szCs w:val="22"/>
          <w:lang w:eastAsia="en-US"/>
        </w:rPr>
        <w:t>3.</w:t>
      </w:r>
      <w:r w:rsidRPr="00106A2A">
        <w:rPr>
          <w:rFonts w:eastAsia="Calibri"/>
          <w:b/>
          <w:i/>
          <w:szCs w:val="22"/>
          <w:lang w:eastAsia="en-US"/>
        </w:rPr>
        <w:tab/>
        <w:t>Когато Комисията вече е одобрила искане на държава членка за изменение на програма, свързано с прехвърляне на ресурси от Социалния фонд за климата, за всяко следващо прехвърляне на ресурси през последващи години държавата членка може да представи уведомление за финансови таблици вместо изменение на програмата, при условие че предложените промени се отнасят изключително до увеличение на финансовите ресурси, без допълнителни промени в програмата.</w:t>
      </w:r>
    </w:p>
    <w:p w:rsidR="00106A2A" w:rsidRPr="00106A2A" w:rsidRDefault="00106A2A" w:rsidP="00106A2A">
      <w:pPr>
        <w:widowControl/>
        <w:spacing w:before="120" w:after="120" w:line="360" w:lineRule="auto"/>
        <w:rPr>
          <w:rFonts w:eastAsia="Calibri"/>
          <w:b/>
          <w: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ind w:left="720" w:hanging="720"/>
        <w:rPr>
          <w:rFonts w:eastAsia="Calibri"/>
          <w:b/>
          <w:i/>
          <w:szCs w:val="22"/>
          <w:lang w:eastAsia="en-US"/>
        </w:rPr>
      </w:pPr>
      <w:r w:rsidRPr="00106A2A">
        <w:rPr>
          <w:rFonts w:eastAsia="Calibri"/>
          <w:b/>
          <w:i/>
          <w:szCs w:val="22"/>
          <w:lang w:eastAsia="en-US"/>
        </w:rPr>
        <w:t>4.</w:t>
      </w:r>
      <w:r w:rsidRPr="00106A2A">
        <w:rPr>
          <w:rFonts w:eastAsia="Calibri"/>
          <w:b/>
          <w:i/>
          <w:szCs w:val="22"/>
          <w:lang w:eastAsia="en-US"/>
        </w:rPr>
        <w:tab/>
        <w:t>Чрез дерогация от член 18 и член 86, параграф 1, втора алинея от настоящия регламент ресурсите, прехвърлени в съответствие с настоящия член и член 11, параграф 2 от Регламент (ЕС) …/…</w:t>
      </w:r>
      <w:r w:rsidRPr="00106A2A">
        <w:rPr>
          <w:rFonts w:eastAsia="Calibri"/>
          <w:b/>
          <w:i/>
          <w:szCs w:val="22"/>
          <w:vertAlign w:val="superscript"/>
          <w:lang w:eastAsia="en-US"/>
        </w:rPr>
        <w:footnoteReference w:customMarkFollows="1" w:id="39"/>
        <w:t>+</w:t>
      </w:r>
      <w:r w:rsidRPr="00106A2A">
        <w:rPr>
          <w:rFonts w:eastAsia="Calibri"/>
          <w:b/>
          <w:i/>
          <w:szCs w:val="22"/>
          <w:lang w:eastAsia="en-US"/>
        </w:rPr>
        <w:t>, не се вземат предвид при междинния преглед и сумата за гъвкавост.</w:t>
      </w:r>
    </w:p>
    <w:p w:rsidR="00106A2A" w:rsidRPr="00106A2A" w:rsidRDefault="00106A2A" w:rsidP="00106A2A">
      <w:pPr>
        <w:widowControl/>
        <w:spacing w:before="120" w:after="120" w:line="360" w:lineRule="auto"/>
        <w:ind w:left="720" w:hanging="720"/>
        <w:rPr>
          <w:rFonts w:eastAsia="Calibri"/>
          <w:b/>
          <w:i/>
          <w:szCs w:val="22"/>
          <w:lang w:eastAsia="en-US"/>
        </w:rPr>
      </w:pPr>
      <w:r w:rsidRPr="00106A2A">
        <w:rPr>
          <w:rFonts w:eastAsia="Calibri"/>
          <w:b/>
          <w:i/>
          <w:szCs w:val="22"/>
          <w:lang w:eastAsia="en-US"/>
        </w:rPr>
        <w:t>5.</w:t>
      </w:r>
      <w:r w:rsidRPr="00106A2A">
        <w:rPr>
          <w:rFonts w:eastAsia="Calibri"/>
          <w:b/>
          <w:i/>
          <w:szCs w:val="22"/>
          <w:lang w:eastAsia="en-US"/>
        </w:rPr>
        <w:tab/>
        <w:t>Чрез дерогация от член 14, параграф 3 от Регламент (ЕС, Евратом) 2018/1046 срокът, след който Комисията отменя бюджетните задължения за сумите в съответствие с член 105, параграф 1 от настоящия регламент, започва да тече от годината, в която са поети съответните бюджетни задължения. Ресурсите не се прехвърлят към програми по цел „Европейско териториално сътрудничество“ (Interreg).</w:t>
      </w:r>
    </w:p>
    <w:p w:rsidR="00106A2A" w:rsidRPr="00106A2A" w:rsidRDefault="00106A2A" w:rsidP="00106A2A">
      <w:pPr>
        <w:widowControl/>
        <w:spacing w:before="120" w:after="120" w:line="360" w:lineRule="auto"/>
        <w:rPr>
          <w:rFonts w:eastAsia="Calibri"/>
          <w:b/>
          <w:i/>
          <w:szCs w:val="22"/>
          <w:lang w:eastAsia="en-US"/>
        </w:rPr>
      </w:pPr>
      <w:r w:rsidRPr="00106A2A">
        <w:rPr>
          <w:rFonts w:eastAsia="Calibri"/>
          <w:b/>
          <w:i/>
          <w:szCs w:val="22"/>
          <w:lang w:eastAsia="en-US"/>
        </w:rPr>
        <w:t>__________________________</w:t>
      </w:r>
    </w:p>
    <w:p w:rsidR="00106A2A" w:rsidRPr="00106A2A" w:rsidRDefault="00106A2A" w:rsidP="00106A2A">
      <w:pPr>
        <w:widowControl/>
        <w:spacing w:before="120" w:after="120" w:line="360" w:lineRule="auto"/>
        <w:ind w:left="851" w:hanging="851"/>
        <w:rPr>
          <w:rFonts w:eastAsia="Calibri"/>
          <w:b/>
          <w:i/>
          <w:szCs w:val="22"/>
          <w:lang w:eastAsia="en-US"/>
        </w:rPr>
      </w:pPr>
      <w:r w:rsidRPr="00106A2A">
        <w:rPr>
          <w:rFonts w:eastAsia="Calibri"/>
          <w:b/>
          <w:i/>
          <w:szCs w:val="22"/>
          <w:lang w:eastAsia="en-US"/>
        </w:rPr>
        <w:t>*</w:t>
      </w:r>
      <w:r w:rsidRPr="00106A2A">
        <w:rPr>
          <w:rFonts w:eastAsia="Calibri"/>
          <w:b/>
          <w:i/>
          <w:szCs w:val="22"/>
          <w:lang w:eastAsia="en-US"/>
        </w:rPr>
        <w:tab/>
        <w:t>Регламент (ЕС) …/… на Европейския парламент и на Съвета от … за създаване на Социален фонд за климата и за изменение на Регламент (ЕС) 2021/1060 (ОВ …).“</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keepNext/>
        <w:widowControl/>
        <w:spacing w:before="360" w:after="120" w:line="360" w:lineRule="auto"/>
        <w:jc w:val="center"/>
        <w:rPr>
          <w:rFonts w:eastAsia="Calibri"/>
          <w:szCs w:val="22"/>
          <w:lang w:eastAsia="en-US"/>
        </w:rPr>
      </w:pPr>
      <w:r w:rsidRPr="00106A2A">
        <w:rPr>
          <w:rFonts w:eastAsia="Calibri"/>
          <w:szCs w:val="22"/>
          <w:lang w:eastAsia="en-US"/>
        </w:rPr>
        <w:t>Член 29</w:t>
      </w:r>
      <w:r w:rsidRPr="00106A2A">
        <w:rPr>
          <w:rFonts w:eastAsia="Calibri"/>
          <w:szCs w:val="22"/>
          <w:lang w:eastAsia="en-US"/>
        </w:rPr>
        <w:br/>
        <w:t>Влизане в сила</w:t>
      </w:r>
    </w:p>
    <w:p w:rsidR="00106A2A" w:rsidRPr="00106A2A" w:rsidRDefault="00106A2A" w:rsidP="00106A2A">
      <w:pPr>
        <w:widowControl/>
        <w:spacing w:before="480" w:after="120" w:line="360" w:lineRule="auto"/>
        <w:rPr>
          <w:rFonts w:eastAsia="Calibri"/>
          <w:szCs w:val="22"/>
          <w:lang w:eastAsia="en-US"/>
        </w:rPr>
      </w:pPr>
      <w:r w:rsidRPr="00106A2A">
        <w:rPr>
          <w:rFonts w:eastAsia="Calibri"/>
          <w:szCs w:val="22"/>
          <w:lang w:eastAsia="en-US"/>
        </w:rPr>
        <w:t xml:space="preserve">Настоящият регламент влиза в сила на двадесетия ден след публикуването му в </w:t>
      </w:r>
      <w:r w:rsidRPr="00106A2A">
        <w:rPr>
          <w:rFonts w:eastAsia="Calibri"/>
          <w:i/>
          <w:szCs w:val="22"/>
          <w:lang w:eastAsia="en-US"/>
        </w:rPr>
        <w:t>Официален вестник на Европейския съюз</w:t>
      </w:r>
      <w:r w:rsidRPr="00106A2A">
        <w:rPr>
          <w:rFonts w:eastAsia="Calibri"/>
          <w:szCs w:val="22"/>
          <w:lang w:eastAsia="en-US"/>
        </w:rPr>
        <w:t>.</w:t>
      </w:r>
    </w:p>
    <w:p w:rsidR="00106A2A" w:rsidRPr="00106A2A" w:rsidRDefault="00106A2A" w:rsidP="00106A2A">
      <w:pPr>
        <w:widowControl/>
        <w:spacing w:before="480" w:after="120" w:line="360" w:lineRule="auto"/>
        <w:rPr>
          <w:rFonts w:eastAsia="Calibri"/>
          <w:szCs w:val="22"/>
          <w:lang w:eastAsia="en-US"/>
        </w:rPr>
      </w:pPr>
      <w:r w:rsidRPr="00106A2A">
        <w:rPr>
          <w:rFonts w:eastAsia="Calibri"/>
          <w:szCs w:val="22"/>
          <w:lang w:eastAsia="en-US"/>
        </w:rPr>
        <w:t xml:space="preserve">Той се прилага от </w:t>
      </w:r>
      <w:r w:rsidRPr="00106A2A">
        <w:rPr>
          <w:rFonts w:eastAsia="Calibri"/>
          <w:b/>
          <w:i/>
          <w:szCs w:val="22"/>
          <w:lang w:eastAsia="en-US"/>
        </w:rPr>
        <w:t>30 юни 2024 г.</w:t>
      </w:r>
      <w:r w:rsidRPr="00106A2A">
        <w:rPr>
          <w:rFonts w:eastAsia="Calibri"/>
          <w:szCs w:val="22"/>
          <w:lang w:eastAsia="en-US"/>
        </w:rPr>
        <w:t xml:space="preserve"> — датата, до която държавите членки трябва да въведат в действие законовите, подзаконовите и административните разпоредби, необходими за съобразяване с Директива (ЕС) …/… на Европейския парламент и на Съвета</w:t>
      </w:r>
      <w:r w:rsidRPr="00106A2A">
        <w:rPr>
          <w:rFonts w:eastAsia="Calibri"/>
          <w:b/>
          <w:szCs w:val="22"/>
          <w:vertAlign w:val="superscript"/>
          <w:lang w:eastAsia="en-US"/>
        </w:rPr>
        <w:footnoteReference w:id="40"/>
      </w:r>
      <w:r w:rsidRPr="00106A2A">
        <w:rPr>
          <w:rFonts w:eastAsia="Calibri"/>
          <w:b/>
          <w:szCs w:val="22"/>
          <w:vertAlign w:val="superscript"/>
          <w:lang w:eastAsia="en-US"/>
        </w:rPr>
        <w:footnoteReference w:customMarkFollows="1" w:id="41"/>
        <w:t>+</w:t>
      </w:r>
      <w:r w:rsidRPr="00106A2A">
        <w:rPr>
          <w:rFonts w:eastAsia="Calibri"/>
          <w:szCs w:val="22"/>
          <w:lang w:eastAsia="en-US"/>
        </w:rPr>
        <w:t xml:space="preserve"> за изменение на Директива 2003/87/ЕО по отношение на глава IVa от Директива 2003/87/ЕО.</w:t>
      </w:r>
    </w:p>
    <w:p w:rsidR="00106A2A" w:rsidRPr="00106A2A" w:rsidRDefault="00106A2A" w:rsidP="00106A2A">
      <w:pPr>
        <w:widowControl/>
        <w:spacing w:before="480" w:after="120" w:line="360" w:lineRule="auto"/>
        <w:rPr>
          <w:rFonts w:eastAsia="Calibri"/>
          <w:szCs w:val="22"/>
          <w:lang w:eastAsia="en-US"/>
        </w:rPr>
      </w:pPr>
      <w:r w:rsidRPr="00106A2A">
        <w:rPr>
          <w:rFonts w:eastAsia="Calibri"/>
          <w:szCs w:val="22"/>
          <w:lang w:eastAsia="en-US"/>
        </w:rPr>
        <w:br w:type="page"/>
        <w:t>Настоящият регламент е задължителен в своята цялост и се прилага пряко във всички държави членки.</w:t>
      </w:r>
    </w:p>
    <w:p w:rsidR="00106A2A" w:rsidRPr="00106A2A" w:rsidRDefault="00106A2A" w:rsidP="00106A2A">
      <w:pPr>
        <w:keepNext/>
        <w:widowControl/>
        <w:spacing w:before="480" w:line="360" w:lineRule="auto"/>
        <w:jc w:val="both"/>
        <w:rPr>
          <w:rFonts w:eastAsia="Calibri"/>
          <w:szCs w:val="22"/>
          <w:lang w:eastAsia="en-US"/>
        </w:rPr>
      </w:pPr>
      <w:r w:rsidRPr="00106A2A">
        <w:rPr>
          <w:rFonts w:eastAsia="Calibri"/>
          <w:szCs w:val="22"/>
          <w:lang w:eastAsia="en-US"/>
        </w:rPr>
        <w:t>Съставено в …</w:t>
      </w:r>
    </w:p>
    <w:p w:rsidR="00106A2A" w:rsidRPr="00106A2A" w:rsidRDefault="00106A2A" w:rsidP="00106A2A">
      <w:pPr>
        <w:keepNext/>
        <w:widowControl/>
        <w:tabs>
          <w:tab w:val="left" w:pos="4108"/>
        </w:tabs>
        <w:spacing w:before="720" w:line="360" w:lineRule="auto"/>
        <w:ind w:left="108"/>
        <w:rPr>
          <w:rFonts w:eastAsia="Calibri"/>
          <w:i/>
          <w:szCs w:val="22"/>
          <w:lang w:eastAsia="en-US"/>
        </w:rPr>
      </w:pPr>
      <w:r w:rsidRPr="00106A2A">
        <w:rPr>
          <w:rFonts w:eastAsia="Calibri"/>
          <w:i/>
          <w:szCs w:val="22"/>
          <w:lang w:eastAsia="en-US"/>
        </w:rPr>
        <w:t>За Европейския парламент</w:t>
      </w:r>
      <w:r w:rsidRPr="00106A2A">
        <w:rPr>
          <w:rFonts w:eastAsia="Calibri"/>
          <w:i/>
          <w:szCs w:val="22"/>
          <w:lang w:eastAsia="en-US"/>
        </w:rPr>
        <w:tab/>
        <w:t>За Съвета</w:t>
      </w:r>
    </w:p>
    <w:p w:rsidR="00106A2A" w:rsidRPr="00106A2A" w:rsidRDefault="00106A2A" w:rsidP="00106A2A">
      <w:pPr>
        <w:widowControl/>
        <w:tabs>
          <w:tab w:val="left" w:pos="4108"/>
        </w:tabs>
        <w:spacing w:before="120" w:line="360" w:lineRule="auto"/>
        <w:ind w:left="108"/>
        <w:rPr>
          <w:rFonts w:eastAsia="Calibri"/>
          <w:i/>
          <w:szCs w:val="22"/>
          <w:lang w:eastAsia="en-US"/>
        </w:rPr>
      </w:pPr>
      <w:r w:rsidRPr="00106A2A">
        <w:rPr>
          <w:rFonts w:eastAsia="Calibri"/>
          <w:i/>
          <w:szCs w:val="22"/>
          <w:lang w:eastAsia="en-US"/>
        </w:rPr>
        <w:t>Председател</w:t>
      </w:r>
      <w:r w:rsidRPr="00106A2A">
        <w:rPr>
          <w:rFonts w:eastAsia="Calibri"/>
          <w:i/>
          <w:szCs w:val="22"/>
          <w:lang w:eastAsia="en-US"/>
        </w:rPr>
        <w:tab/>
        <w:t>Председател</w:t>
      </w:r>
    </w:p>
    <w:p w:rsidR="00106A2A" w:rsidRPr="00106A2A" w:rsidRDefault="00106A2A" w:rsidP="00106A2A">
      <w:pPr>
        <w:widowControl/>
        <w:spacing w:before="480" w:after="120" w:line="360" w:lineRule="auto"/>
        <w:jc w:val="center"/>
        <w:rPr>
          <w:rFonts w:eastAsia="Calibri"/>
          <w:szCs w:val="22"/>
          <w:lang w:eastAsia="en-US"/>
        </w:rPr>
      </w:pPr>
      <w:r w:rsidRPr="00106A2A">
        <w:rPr>
          <w:rFonts w:eastAsia="Calibri"/>
          <w:szCs w:val="22"/>
          <w:lang w:eastAsia="en-US"/>
        </w:rPr>
        <w:t>_____________________</w:t>
      </w:r>
    </w:p>
    <w:p w:rsidR="00106A2A" w:rsidRPr="00106A2A" w:rsidRDefault="00106A2A" w:rsidP="00106A2A">
      <w:pPr>
        <w:widowControl/>
        <w:spacing w:before="480" w:after="120" w:line="360" w:lineRule="auto"/>
        <w:rPr>
          <w:rFonts w:eastAsia="Calibri"/>
          <w:szCs w:val="22"/>
          <w:lang w:eastAsia="en-US"/>
        </w:rPr>
      </w:pPr>
    </w:p>
    <w:p w:rsidR="00106A2A" w:rsidRPr="00106A2A" w:rsidRDefault="00106A2A" w:rsidP="00106A2A">
      <w:pPr>
        <w:widowControl/>
        <w:spacing w:before="120" w:after="120" w:line="360" w:lineRule="auto"/>
        <w:jc w:val="both"/>
        <w:rPr>
          <w:rFonts w:eastAsia="Calibri"/>
          <w:szCs w:val="22"/>
          <w:lang w:eastAsia="en-US"/>
        </w:rPr>
        <w:sectPr w:rsidR="00106A2A" w:rsidRPr="00106A2A" w:rsidSect="00056D1A">
          <w:footnotePr>
            <w:numRestart w:val="eachPage"/>
          </w:footnotePr>
          <w:pgSz w:w="11906" w:h="16838"/>
          <w:pgMar w:top="1134" w:right="1134" w:bottom="1134" w:left="1134" w:header="567" w:footer="567" w:gutter="0"/>
          <w:cols w:space="720"/>
          <w:docGrid w:linePitch="360"/>
        </w:sectPr>
      </w:pPr>
    </w:p>
    <w:p w:rsidR="00106A2A" w:rsidRPr="00106A2A" w:rsidRDefault="00106A2A" w:rsidP="00106A2A">
      <w:pPr>
        <w:widowControl/>
        <w:spacing w:before="120" w:after="120"/>
        <w:jc w:val="center"/>
        <w:rPr>
          <w:rFonts w:eastAsia="Calibri"/>
          <w:b/>
          <w:szCs w:val="22"/>
          <w:u w:val="single"/>
          <w:lang w:eastAsia="en-US"/>
        </w:rPr>
      </w:pPr>
      <w:r w:rsidRPr="00106A2A">
        <w:rPr>
          <w:rFonts w:eastAsia="Calibri"/>
          <w:b/>
          <w:szCs w:val="22"/>
          <w:u w:val="single"/>
          <w:lang w:eastAsia="en-US"/>
        </w:rPr>
        <w:t>ПРИЛОЖЕНИЕ I</w:t>
      </w:r>
    </w:p>
    <w:p w:rsidR="00106A2A" w:rsidRPr="00106A2A" w:rsidRDefault="00106A2A" w:rsidP="00106A2A">
      <w:pPr>
        <w:widowControl/>
        <w:spacing w:before="120" w:after="120"/>
        <w:jc w:val="both"/>
        <w:rPr>
          <w:rFonts w:eastAsia="Calibri"/>
          <w:szCs w:val="22"/>
          <w:lang w:eastAsia="en-US"/>
        </w:rPr>
      </w:pPr>
    </w:p>
    <w:p w:rsidR="00106A2A" w:rsidRPr="00106A2A" w:rsidRDefault="00106A2A" w:rsidP="00106A2A">
      <w:pPr>
        <w:widowControl/>
        <w:spacing w:before="240" w:after="120" w:line="360" w:lineRule="auto"/>
        <w:jc w:val="center"/>
        <w:rPr>
          <w:rFonts w:eastAsia="Calibri"/>
          <w:b/>
          <w:szCs w:val="22"/>
          <w:lang w:eastAsia="en-US"/>
        </w:rPr>
      </w:pPr>
      <w:r w:rsidRPr="00106A2A">
        <w:rPr>
          <w:rFonts w:eastAsia="Calibri"/>
          <w:b/>
          <w:szCs w:val="22"/>
          <w:lang w:eastAsia="en-US"/>
        </w:rPr>
        <w:t>Методика за изчисляване на максималния размер на разпределените финансови средства по държави членки по линия Фонда съгласно член 14</w:t>
      </w:r>
    </w:p>
    <w:p w:rsidR="00106A2A" w:rsidRPr="00106A2A" w:rsidRDefault="00106A2A" w:rsidP="00106A2A">
      <w:pPr>
        <w:widowControl/>
        <w:spacing w:before="240" w:after="120" w:line="360" w:lineRule="auto"/>
        <w:rPr>
          <w:rFonts w:eastAsia="Calibri"/>
          <w:szCs w:val="22"/>
          <w:lang w:eastAsia="en-US"/>
        </w:rPr>
      </w:pPr>
      <w:r w:rsidRPr="00106A2A">
        <w:rPr>
          <w:rFonts w:eastAsia="Calibri"/>
          <w:szCs w:val="22"/>
          <w:lang w:eastAsia="en-US"/>
        </w:rPr>
        <w:t>В настоящото приложение се определя методиката за изчисляване на максималния размер на разпределените финансови средства, който е на разположение на всяка държава членка в съответствие с член 10 и член 14.</w:t>
      </w:r>
    </w:p>
    <w:p w:rsidR="00106A2A" w:rsidRPr="00106A2A" w:rsidRDefault="00106A2A" w:rsidP="00106A2A">
      <w:pPr>
        <w:widowControl/>
        <w:spacing w:before="240" w:after="120" w:line="360" w:lineRule="auto"/>
        <w:rPr>
          <w:rFonts w:eastAsia="Calibri"/>
          <w:szCs w:val="22"/>
          <w:lang w:eastAsia="en-US"/>
        </w:rPr>
      </w:pPr>
      <w:r w:rsidRPr="00106A2A">
        <w:rPr>
          <w:rFonts w:eastAsia="Calibri"/>
          <w:szCs w:val="22"/>
          <w:lang w:eastAsia="en-US"/>
        </w:rPr>
        <w:t>Съгласно методиката за всяка държава членка се вземат предвид следните променливи:</w:t>
      </w:r>
    </w:p>
    <w:p w:rsidR="00106A2A" w:rsidRPr="00106A2A" w:rsidRDefault="00106A2A" w:rsidP="00106A2A">
      <w:pPr>
        <w:widowControl/>
        <w:tabs>
          <w:tab w:val="left" w:pos="850"/>
        </w:tabs>
        <w:spacing w:before="120" w:after="120"/>
        <w:ind w:left="850" w:hanging="850"/>
        <w:jc w:val="both"/>
        <w:rPr>
          <w:rFonts w:eastAsia="Calibri"/>
          <w:szCs w:val="22"/>
          <w:lang w:eastAsia="en-US"/>
        </w:rPr>
      </w:pPr>
      <w:r w:rsidRPr="00106A2A">
        <w:rPr>
          <w:rFonts w:eastAsia="Calibri"/>
          <w:szCs w:val="22"/>
          <w:lang w:eastAsia="en-US"/>
        </w:rPr>
        <w:t>–</w:t>
      </w:r>
      <w:r w:rsidRPr="00106A2A">
        <w:rPr>
          <w:rFonts w:eastAsia="Calibri"/>
          <w:szCs w:val="22"/>
          <w:lang w:eastAsia="en-US"/>
        </w:rPr>
        <w:tab/>
        <w:t>население, изложено на риск от бедност, живеещо в селски райони (2019 г.);</w:t>
      </w:r>
    </w:p>
    <w:p w:rsidR="00106A2A" w:rsidRPr="00106A2A" w:rsidRDefault="00106A2A" w:rsidP="00106A2A">
      <w:pPr>
        <w:widowControl/>
        <w:tabs>
          <w:tab w:val="left" w:pos="850"/>
        </w:tabs>
        <w:spacing w:before="120" w:after="120"/>
        <w:ind w:left="850" w:hanging="850"/>
        <w:rPr>
          <w:rFonts w:eastAsia="Calibri"/>
          <w:szCs w:val="22"/>
          <w:lang w:eastAsia="en-US"/>
        </w:rPr>
      </w:pPr>
      <w:r w:rsidRPr="00106A2A">
        <w:rPr>
          <w:rFonts w:eastAsia="Calibri"/>
          <w:szCs w:val="22"/>
          <w:lang w:eastAsia="en-US"/>
        </w:rPr>
        <w:t>–</w:t>
      </w:r>
      <w:r w:rsidRPr="00106A2A">
        <w:rPr>
          <w:rFonts w:eastAsia="Calibri"/>
          <w:szCs w:val="22"/>
          <w:lang w:eastAsia="en-US"/>
        </w:rPr>
        <w:tab/>
        <w:t>емисии на въглероден диоксид от изгаряне на горива от домакинствата (средно за периода 2016—2018 г.);</w:t>
      </w:r>
    </w:p>
    <w:p w:rsidR="00106A2A" w:rsidRPr="00106A2A" w:rsidRDefault="00106A2A" w:rsidP="00106A2A">
      <w:pPr>
        <w:widowControl/>
        <w:tabs>
          <w:tab w:val="left" w:pos="850"/>
        </w:tabs>
        <w:spacing w:before="120" w:after="120"/>
        <w:ind w:left="850" w:hanging="850"/>
        <w:rPr>
          <w:rFonts w:eastAsia="Calibri"/>
          <w:szCs w:val="22"/>
          <w:lang w:eastAsia="en-US"/>
        </w:rPr>
      </w:pPr>
      <w:r w:rsidRPr="00106A2A">
        <w:rPr>
          <w:rFonts w:eastAsia="Calibri"/>
          <w:szCs w:val="22"/>
          <w:lang w:eastAsia="en-US"/>
        </w:rPr>
        <w:t>–</w:t>
      </w:r>
      <w:r w:rsidRPr="00106A2A">
        <w:rPr>
          <w:rFonts w:eastAsia="Calibri"/>
          <w:szCs w:val="22"/>
          <w:lang w:eastAsia="en-US"/>
        </w:rPr>
        <w:tab/>
        <w:t>процентът на домакинствата, изложени на риск от бедност, които имат просрочени плащания за комунални услуги (2019 г.);</w:t>
      </w:r>
    </w:p>
    <w:p w:rsidR="00106A2A" w:rsidRPr="00106A2A" w:rsidRDefault="00106A2A" w:rsidP="00106A2A">
      <w:pPr>
        <w:widowControl/>
        <w:tabs>
          <w:tab w:val="left" w:pos="850"/>
        </w:tabs>
        <w:spacing w:before="120" w:after="120"/>
        <w:ind w:left="850" w:hanging="850"/>
        <w:jc w:val="both"/>
        <w:rPr>
          <w:rFonts w:eastAsia="Calibri"/>
          <w:szCs w:val="22"/>
          <w:lang w:eastAsia="en-US"/>
        </w:rPr>
      </w:pPr>
      <w:r w:rsidRPr="00106A2A">
        <w:rPr>
          <w:rFonts w:eastAsia="Calibri"/>
          <w:szCs w:val="22"/>
          <w:lang w:eastAsia="en-US"/>
        </w:rPr>
        <w:t>–</w:t>
      </w:r>
      <w:r w:rsidRPr="00106A2A">
        <w:rPr>
          <w:rFonts w:eastAsia="Calibri"/>
          <w:szCs w:val="22"/>
          <w:lang w:eastAsia="en-US"/>
        </w:rPr>
        <w:tab/>
        <w:t>общ брой население (2019 г.);</w:t>
      </w:r>
    </w:p>
    <w:p w:rsidR="00106A2A" w:rsidRPr="00106A2A" w:rsidRDefault="00106A2A" w:rsidP="00106A2A">
      <w:pPr>
        <w:widowControl/>
        <w:tabs>
          <w:tab w:val="left" w:pos="850"/>
        </w:tabs>
        <w:spacing w:before="120" w:after="120"/>
        <w:ind w:left="850" w:hanging="850"/>
        <w:rPr>
          <w:rFonts w:eastAsia="Calibri"/>
          <w:szCs w:val="22"/>
          <w:lang w:eastAsia="en-US"/>
        </w:rPr>
      </w:pPr>
      <w:r w:rsidRPr="00106A2A">
        <w:rPr>
          <w:rFonts w:eastAsia="Calibri"/>
          <w:szCs w:val="22"/>
          <w:lang w:eastAsia="en-US"/>
        </w:rPr>
        <w:t>–</w:t>
      </w:r>
      <w:r w:rsidRPr="00106A2A">
        <w:rPr>
          <w:rFonts w:eastAsia="Calibri"/>
          <w:szCs w:val="22"/>
          <w:lang w:eastAsia="en-US"/>
        </w:rPr>
        <w:tab/>
        <w:t>брутният национален доход (БНД) на глава от населението на държавата членка, измерен чрез стандарта за покупателна способност (2019 г.);</w:t>
      </w:r>
    </w:p>
    <w:p w:rsidR="00106A2A" w:rsidRPr="00106A2A" w:rsidRDefault="00106A2A" w:rsidP="00106A2A">
      <w:pPr>
        <w:widowControl/>
        <w:tabs>
          <w:tab w:val="left" w:pos="850"/>
        </w:tabs>
        <w:spacing w:before="120" w:after="120" w:line="360" w:lineRule="auto"/>
        <w:ind w:left="851" w:hanging="851"/>
        <w:rPr>
          <w:rFonts w:eastAsia="Calibri"/>
          <w:b/>
          <w:szCs w:val="22"/>
          <w:lang w:eastAsia="en-US"/>
        </w:rPr>
      </w:pPr>
      <w:r w:rsidRPr="00106A2A">
        <w:rPr>
          <w:rFonts w:eastAsia="Calibri"/>
          <w:szCs w:val="22"/>
          <w:lang w:eastAsia="en-US"/>
        </w:rPr>
        <w:t>–</w:t>
      </w:r>
      <w:r w:rsidRPr="00106A2A">
        <w:rPr>
          <w:rFonts w:eastAsia="Calibri"/>
          <w:szCs w:val="22"/>
          <w:lang w:eastAsia="en-US"/>
        </w:rPr>
        <w:tab/>
        <w:t xml:space="preserve">делът на референтните емисии по член 4, параграф 2 от Регламент (ЕС) 2018/842 за </w:t>
      </w:r>
      <w:r w:rsidRPr="00106A2A">
        <w:rPr>
          <w:rFonts w:eastAsia="Calibri"/>
          <w:b/>
          <w:i/>
          <w:szCs w:val="22"/>
          <w:lang w:eastAsia="en-US"/>
        </w:rPr>
        <w:t>източниците на емисии 1A3b, 1A4a и 1A4b, установени в Насоките на МКИК относно националните инвентаризации на парниковите газове от 2006 г.</w:t>
      </w:r>
      <w:r w:rsidRPr="00106A2A">
        <w:rPr>
          <w:rFonts w:eastAsia="Calibri"/>
          <w:b/>
          <w:szCs w:val="22"/>
          <w:lang w:eastAsia="en-US"/>
        </w:rPr>
        <w:t xml:space="preserve"> </w:t>
      </w:r>
      <w:r w:rsidRPr="00106A2A">
        <w:rPr>
          <w:rFonts w:eastAsia="Calibri"/>
          <w:szCs w:val="22"/>
          <w:lang w:eastAsia="en-US"/>
        </w:rPr>
        <w:t xml:space="preserve">(средна стойност за периода 2016—2018 г.), </w:t>
      </w:r>
      <w:r w:rsidRPr="00106A2A">
        <w:rPr>
          <w:rFonts w:eastAsia="Calibri"/>
          <w:b/>
          <w:i/>
          <w:szCs w:val="22"/>
          <w:lang w:eastAsia="en-US"/>
        </w:rPr>
        <w:t>цялостно преразгледани съгласно член 4, параграф 3 от посочения регламент.</w:t>
      </w:r>
    </w:p>
    <w:p w:rsidR="00106A2A" w:rsidRPr="00106A2A" w:rsidRDefault="00106A2A" w:rsidP="00106A2A">
      <w:pPr>
        <w:widowControl/>
        <w:spacing w:before="120" w:after="120" w:line="360" w:lineRule="auto"/>
        <w:rPr>
          <w:rFonts w:eastAsia="Calibri"/>
          <w:szCs w:val="22"/>
          <w:lang w:eastAsia="en-US"/>
        </w:rPr>
      </w:pPr>
      <w:r w:rsidRPr="00106A2A">
        <w:rPr>
          <w:rFonts w:eastAsia="Calibri"/>
          <w:szCs w:val="22"/>
          <w:lang w:eastAsia="en-US"/>
        </w:rPr>
        <w:br w:type="page"/>
      </w:r>
    </w:p>
    <w:p w:rsidR="00106A2A" w:rsidRPr="00106A2A" w:rsidRDefault="00106A2A" w:rsidP="00106A2A">
      <w:pPr>
        <w:widowControl/>
        <w:spacing w:before="120" w:after="120" w:line="360" w:lineRule="auto"/>
        <w:jc w:val="both"/>
        <w:rPr>
          <w:rFonts w:eastAsia="Calibri"/>
          <w:szCs w:val="22"/>
          <w:lang w:eastAsia="en-US"/>
        </w:rPr>
      </w:pPr>
      <w:r w:rsidRPr="00106A2A">
        <w:rPr>
          <w:rFonts w:eastAsia="Calibri"/>
          <w:szCs w:val="22"/>
          <w:lang w:eastAsia="en-US"/>
        </w:rPr>
        <w:t>Максималният размер на разпределените финансови средства на държава членка по линия на Фонда (МРРФС</w:t>
      </w:r>
      <w:r w:rsidRPr="00106A2A">
        <w:rPr>
          <w:rFonts w:eastAsia="Calibri"/>
          <w:szCs w:val="22"/>
          <w:vertAlign w:val="subscript"/>
          <w:lang w:eastAsia="en-US"/>
        </w:rPr>
        <w:t>i</w:t>
      </w:r>
      <w:r w:rsidRPr="00106A2A">
        <w:rPr>
          <w:rFonts w:eastAsia="Calibri"/>
          <w:szCs w:val="22"/>
          <w:lang w:eastAsia="en-US"/>
        </w:rPr>
        <w:t>) се определя по следната формула:</w:t>
      </w:r>
    </w:p>
    <w:p w:rsidR="00106A2A" w:rsidRPr="00106A2A" w:rsidRDefault="00106A2A" w:rsidP="00106A2A">
      <w:pPr>
        <w:widowControl/>
        <w:spacing w:before="240" w:after="120"/>
        <w:jc w:val="both"/>
        <w:rPr>
          <w:szCs w:val="22"/>
          <w:lang w:eastAsia="en-US"/>
        </w:rPr>
      </w:pPr>
      <m:oMathPara>
        <m:oMath>
          <m:sSub>
            <m:sSubPr>
              <m:ctrlPr>
                <w:rPr>
                  <w:rFonts w:ascii="Cambria Math" w:eastAsia="Calibri" w:hAnsi="Cambria Math"/>
                  <w:i/>
                  <w:szCs w:val="22"/>
                  <w:lang w:eastAsia="en-US"/>
                </w:rPr>
              </m:ctrlPr>
            </m:sSubPr>
            <m:e>
              <m:r>
                <w:rPr>
                  <w:rFonts w:ascii="Cambria Math" w:eastAsia="Calibri" w:hAnsi="Cambria Math"/>
                  <w:szCs w:val="22"/>
                  <w:lang w:eastAsia="en-US"/>
                </w:rPr>
                <m:t>МРРФС</m:t>
              </m:r>
            </m:e>
            <m:sub>
              <m:r>
                <w:rPr>
                  <w:rFonts w:ascii="Cambria Math" w:eastAsia="Calibri" w:hAnsi="Cambria Math"/>
                  <w:szCs w:val="22"/>
                  <w:lang w:eastAsia="en-US"/>
                </w:rPr>
                <m:t>i</m:t>
              </m:r>
            </m:sub>
          </m:sSub>
          <m:r>
            <w:rPr>
              <w:rFonts w:ascii="Cambria Math" w:eastAsia="Calibri" w:hAnsi="Cambria Math"/>
              <w:szCs w:val="22"/>
              <w:lang w:eastAsia="en-US"/>
            </w:rPr>
            <m:t>=</m:t>
          </m:r>
          <m:sSub>
            <m:sSubPr>
              <m:ctrlPr>
                <w:rPr>
                  <w:rFonts w:ascii="Cambria Math" w:eastAsia="Calibri" w:hAnsi="Cambria Math"/>
                  <w:i/>
                  <w:szCs w:val="22"/>
                  <w:lang w:eastAsia="en-US"/>
                </w:rPr>
              </m:ctrlPr>
            </m:sSubPr>
            <m:e>
              <m:r>
                <w:rPr>
                  <w:rFonts w:ascii="Cambria Math" w:eastAsia="Calibri" w:hAnsi="Cambria Math"/>
                  <w:szCs w:val="22"/>
                  <w:lang w:eastAsia="en-US"/>
                </w:rPr>
                <m:t>α</m:t>
              </m:r>
            </m:e>
            <m:sub>
              <m:r>
                <w:rPr>
                  <w:rFonts w:ascii="Cambria Math" w:eastAsia="Calibri" w:hAnsi="Cambria Math"/>
                  <w:szCs w:val="22"/>
                  <w:lang w:eastAsia="en-US"/>
                </w:rPr>
                <m:t>i</m:t>
              </m:r>
            </m:sub>
          </m:sSub>
          <m:r>
            <w:rPr>
              <w:rFonts w:ascii="Cambria Math" w:eastAsia="Calibri" w:hAnsi="Cambria Math"/>
              <w:szCs w:val="22"/>
              <w:lang w:eastAsia="en-US"/>
            </w:rPr>
            <m:t>×(MС)</m:t>
          </m:r>
        </m:oMath>
      </m:oMathPara>
    </w:p>
    <w:p w:rsidR="00106A2A" w:rsidRPr="00106A2A" w:rsidRDefault="00106A2A" w:rsidP="00106A2A">
      <w:pPr>
        <w:widowControl/>
        <w:spacing w:before="240" w:after="120"/>
        <w:jc w:val="both"/>
        <w:rPr>
          <w:szCs w:val="22"/>
          <w:lang w:eastAsia="en-US"/>
        </w:rPr>
      </w:pPr>
      <w:r w:rsidRPr="00106A2A">
        <w:rPr>
          <w:rFonts w:eastAsia="Calibri"/>
          <w:szCs w:val="22"/>
          <w:lang w:eastAsia="en-US"/>
        </w:rPr>
        <w:t>където:</w:t>
      </w:r>
    </w:p>
    <w:p w:rsidR="00106A2A" w:rsidRPr="00106A2A" w:rsidRDefault="00106A2A" w:rsidP="00106A2A">
      <w:pPr>
        <w:widowControl/>
        <w:spacing w:before="240" w:after="120" w:line="360" w:lineRule="auto"/>
        <w:jc w:val="both"/>
        <w:rPr>
          <w:rFonts w:eastAsia="Calibri"/>
          <w:szCs w:val="22"/>
          <w:lang w:eastAsia="en-US"/>
        </w:rPr>
      </w:pPr>
      <w:r w:rsidRPr="00106A2A">
        <w:rPr>
          <w:rFonts w:eastAsia="Calibri"/>
          <w:b/>
          <w:i/>
          <w:szCs w:val="22"/>
          <w:lang w:eastAsia="en-US"/>
        </w:rPr>
        <w:t xml:space="preserve">Максималната сума (МС) </w:t>
      </w:r>
      <w:r w:rsidRPr="00106A2A">
        <w:rPr>
          <w:rFonts w:eastAsia="Calibri"/>
          <w:szCs w:val="22"/>
          <w:lang w:eastAsia="en-US"/>
        </w:rPr>
        <w:t>за изпълнението на Фонда е посочената в член 10, параграф 1, а</w:t>
      </w:r>
      <m:oMath>
        <m:r>
          <w:rPr>
            <w:rFonts w:ascii="Cambria Math" w:eastAsia="Calibri" w:hAnsi="Cambria Math"/>
            <w:szCs w:val="22"/>
            <w:lang w:eastAsia="en-US"/>
          </w:rPr>
          <m:t xml:space="preserve"> </m:t>
        </m:r>
        <m:sSub>
          <m:sSubPr>
            <m:ctrlPr>
              <w:rPr>
                <w:rFonts w:ascii="Cambria Math" w:eastAsia="Calibri" w:hAnsi="Cambria Math"/>
                <w:i/>
                <w:szCs w:val="22"/>
                <w:lang w:eastAsia="en-US"/>
              </w:rPr>
            </m:ctrlPr>
          </m:sSubPr>
          <m:e>
            <m:r>
              <w:rPr>
                <w:rFonts w:ascii="Cambria Math" w:eastAsia="Calibri" w:hAnsi="Cambria Math"/>
                <w:szCs w:val="22"/>
                <w:lang w:eastAsia="en-US"/>
              </w:rPr>
              <m:t>α</m:t>
            </m:r>
          </m:e>
          <m:sub>
            <m:r>
              <w:rPr>
                <w:rFonts w:ascii="Cambria Math" w:eastAsia="Calibri" w:hAnsi="Cambria Math"/>
                <w:szCs w:val="22"/>
                <w:lang w:eastAsia="en-US"/>
              </w:rPr>
              <m:t>i</m:t>
            </m:r>
          </m:sub>
        </m:sSub>
      </m:oMath>
      <w:r w:rsidRPr="00106A2A">
        <w:rPr>
          <w:rFonts w:eastAsia="Calibri"/>
          <w:szCs w:val="22"/>
          <w:lang w:eastAsia="en-US"/>
        </w:rPr>
        <w:t xml:space="preserve"> е делът на държавата членка i в </w:t>
      </w:r>
      <w:r w:rsidRPr="00106A2A">
        <w:rPr>
          <w:rFonts w:eastAsia="Calibri"/>
          <w:b/>
          <w:i/>
          <w:szCs w:val="22"/>
          <w:lang w:eastAsia="en-US"/>
        </w:rPr>
        <w:t>максималната сума</w:t>
      </w:r>
      <w:r w:rsidRPr="00106A2A">
        <w:rPr>
          <w:rFonts w:eastAsia="Calibri"/>
          <w:szCs w:val="22"/>
          <w:lang w:eastAsia="en-US"/>
        </w:rPr>
        <w:t>, определен въз основа на следните стъпки:</w:t>
      </w:r>
    </w:p>
    <w:p w:rsidR="00106A2A" w:rsidRPr="00106A2A" w:rsidRDefault="00106A2A" w:rsidP="00106A2A">
      <w:pPr>
        <w:widowControl/>
        <w:spacing w:before="240" w:after="120"/>
        <w:jc w:val="both"/>
        <w:rPr>
          <w:szCs w:val="22"/>
          <w:lang w:eastAsia="en-US"/>
        </w:rPr>
      </w:pPr>
      <m:oMathPara>
        <m:oMath>
          <m:sSub>
            <m:sSubPr>
              <m:ctrlPr>
                <w:rPr>
                  <w:rFonts w:ascii="Cambria Math" w:eastAsia="Calibri" w:hAnsi="Cambria Math"/>
                  <w:i/>
                  <w:szCs w:val="22"/>
                  <w:lang w:eastAsia="en-US"/>
                </w:rPr>
              </m:ctrlPr>
            </m:sSubPr>
            <m:e>
              <m:r>
                <w:rPr>
                  <w:rFonts w:ascii="Cambria Math" w:eastAsia="Calibri" w:hAnsi="Cambria Math"/>
                  <w:szCs w:val="22"/>
                  <w:lang w:eastAsia="en-US"/>
                </w:rPr>
                <m:t>α</m:t>
              </m:r>
            </m:e>
            <m:sub>
              <m:r>
                <w:rPr>
                  <w:rFonts w:ascii="Cambria Math" w:eastAsia="Calibri" w:hAnsi="Cambria Math"/>
                  <w:szCs w:val="22"/>
                  <w:lang w:eastAsia="en-US"/>
                </w:rPr>
                <m:t>i</m:t>
              </m:r>
            </m:sub>
          </m:sSub>
          <m:r>
            <w:rPr>
              <w:rFonts w:ascii="Cambria Math" w:eastAsia="Calibri" w:hAnsi="Cambria Math"/>
              <w:szCs w:val="22"/>
              <w:lang w:eastAsia="en-US"/>
            </w:rPr>
            <m:t>=</m:t>
          </m:r>
          <m:d>
            <m:dPr>
              <m:ctrlPr>
                <w:rPr>
                  <w:rFonts w:ascii="Cambria Math" w:eastAsia="Calibri" w:hAnsi="Cambria Math"/>
                  <w:i/>
                  <w:szCs w:val="22"/>
                  <w:lang w:eastAsia="en-US"/>
                </w:rPr>
              </m:ctrlPr>
            </m:dPr>
            <m:e>
              <m:r>
                <w:rPr>
                  <w:rFonts w:ascii="Cambria Math" w:eastAsia="Calibri" w:hAnsi="Cambria Math"/>
                  <w:szCs w:val="22"/>
                  <w:lang w:eastAsia="en-US"/>
                </w:rPr>
                <m:t>50 % ×</m:t>
              </m:r>
              <m:sSub>
                <m:sSubPr>
                  <m:ctrlPr>
                    <w:rPr>
                      <w:rFonts w:ascii="Cambria Math" w:eastAsia="Calibri" w:hAnsi="Cambria Math"/>
                      <w:i/>
                      <w:szCs w:val="22"/>
                      <w:lang w:eastAsia="en-US"/>
                    </w:rPr>
                  </m:ctrlPr>
                </m:sSubPr>
                <m:e>
                  <m:r>
                    <w:rPr>
                      <w:rFonts w:ascii="Cambria Math" w:eastAsia="Calibri" w:hAnsi="Cambria Math"/>
                      <w:szCs w:val="22"/>
                      <w:lang w:eastAsia="en-US"/>
                    </w:rPr>
                    <m:t>β</m:t>
                  </m:r>
                </m:e>
                <m:sub>
                  <m:r>
                    <w:rPr>
                      <w:rFonts w:ascii="Cambria Math" w:eastAsia="Calibri" w:hAnsi="Cambria Math"/>
                      <w:szCs w:val="22"/>
                      <w:lang w:eastAsia="en-US"/>
                    </w:rPr>
                    <m:t>i</m:t>
                  </m:r>
                </m:sub>
              </m:sSub>
              <m:r>
                <w:rPr>
                  <w:rFonts w:ascii="Cambria Math" w:eastAsia="Calibri" w:hAnsi="Cambria Math"/>
                  <w:szCs w:val="22"/>
                  <w:lang w:eastAsia="en-US"/>
                </w:rPr>
                <m:t>+50%×</m:t>
              </m:r>
              <m:sSub>
                <m:sSubPr>
                  <m:ctrlPr>
                    <w:rPr>
                      <w:rFonts w:ascii="Cambria Math" w:eastAsia="Calibri" w:hAnsi="Cambria Math"/>
                      <w:i/>
                      <w:szCs w:val="22"/>
                      <w:lang w:eastAsia="en-US"/>
                    </w:rPr>
                  </m:ctrlPr>
                </m:sSubPr>
                <m:e>
                  <m:r>
                    <w:rPr>
                      <w:rFonts w:ascii="Cambria Math" w:eastAsia="Calibri" w:hAnsi="Cambria Math"/>
                      <w:szCs w:val="22"/>
                      <w:lang w:eastAsia="en-US"/>
                    </w:rPr>
                    <m:t>λ</m:t>
                  </m:r>
                </m:e>
                <m:sub>
                  <m:r>
                    <w:rPr>
                      <w:rFonts w:ascii="Cambria Math" w:eastAsia="Calibri" w:hAnsi="Cambria Math"/>
                      <w:szCs w:val="22"/>
                      <w:lang w:eastAsia="en-US"/>
                    </w:rPr>
                    <m:t>i</m:t>
                  </m:r>
                </m:sub>
              </m:sSub>
            </m:e>
          </m:d>
          <m:r>
            <w:rPr>
              <w:rFonts w:ascii="Cambria Math" w:eastAsia="Calibri" w:hAnsi="Cambria Math"/>
              <w:szCs w:val="22"/>
              <w:lang w:eastAsia="en-US"/>
            </w:rPr>
            <m:t>×</m:t>
          </m:r>
          <m:f>
            <m:fPr>
              <m:ctrlPr>
                <w:rPr>
                  <w:rFonts w:ascii="Cambria Math" w:eastAsia="Calibri" w:hAnsi="Cambria Math"/>
                  <w:i/>
                  <w:szCs w:val="22"/>
                  <w:lang w:eastAsia="en-US"/>
                </w:rPr>
              </m:ctrlPr>
            </m:fPr>
            <m:num>
              <m:sSubSup>
                <m:sSubSupPr>
                  <m:ctrlPr>
                    <w:rPr>
                      <w:rFonts w:ascii="Cambria Math" w:eastAsia="Calibri" w:hAnsi="Cambria Math"/>
                      <w:i/>
                      <w:szCs w:val="22"/>
                      <w:lang w:eastAsia="en-US"/>
                    </w:rPr>
                  </m:ctrlPr>
                </m:sSubSupPr>
                <m:e>
                  <m:r>
                    <w:rPr>
                      <w:rFonts w:ascii="Cambria Math" w:eastAsia="Calibri" w:hAnsi="Cambria Math"/>
                      <w:szCs w:val="22"/>
                      <w:lang w:eastAsia="en-US"/>
                    </w:rPr>
                    <m:t>GNI</m:t>
                  </m:r>
                </m:e>
                <m:sub>
                  <m:r>
                    <w:rPr>
                      <w:rFonts w:ascii="Cambria Math" w:eastAsia="Calibri" w:hAnsi="Cambria Math"/>
                      <w:szCs w:val="22"/>
                      <w:lang w:eastAsia="en-US"/>
                    </w:rPr>
                    <m:t>EU</m:t>
                  </m:r>
                </m:sub>
                <m:sup>
                  <m:r>
                    <w:rPr>
                      <w:rFonts w:ascii="Cambria Math" w:eastAsia="Calibri" w:hAnsi="Cambria Math"/>
                      <w:szCs w:val="22"/>
                      <w:lang w:eastAsia="en-US"/>
                    </w:rPr>
                    <m:t>PC</m:t>
                  </m:r>
                </m:sup>
              </m:sSubSup>
            </m:num>
            <m:den>
              <m:sSubSup>
                <m:sSubSupPr>
                  <m:ctrlPr>
                    <w:rPr>
                      <w:rFonts w:ascii="Cambria Math" w:eastAsia="Calibri" w:hAnsi="Cambria Math"/>
                      <w:i/>
                      <w:szCs w:val="22"/>
                      <w:lang w:eastAsia="en-US"/>
                    </w:rPr>
                  </m:ctrlPr>
                </m:sSubSupPr>
                <m:e>
                  <m:r>
                    <w:rPr>
                      <w:rFonts w:ascii="Cambria Math" w:eastAsia="Calibri" w:hAnsi="Cambria Math"/>
                      <w:szCs w:val="22"/>
                      <w:lang w:eastAsia="en-US"/>
                    </w:rPr>
                    <m:t>GNI</m:t>
                  </m:r>
                </m:e>
                <m:sub>
                  <m:r>
                    <w:rPr>
                      <w:rFonts w:ascii="Cambria Math" w:eastAsia="Calibri" w:hAnsi="Cambria Math"/>
                      <w:szCs w:val="22"/>
                      <w:lang w:eastAsia="en-US"/>
                    </w:rPr>
                    <m:t>i</m:t>
                  </m:r>
                </m:sub>
                <m:sup>
                  <m:r>
                    <w:rPr>
                      <w:rFonts w:ascii="Cambria Math" w:eastAsia="Calibri" w:hAnsi="Cambria Math"/>
                      <w:szCs w:val="22"/>
                      <w:lang w:eastAsia="en-US"/>
                    </w:rPr>
                    <m:t>PC</m:t>
                  </m:r>
                </m:sup>
              </m:sSubSup>
            </m:den>
          </m:f>
        </m:oMath>
      </m:oMathPara>
    </w:p>
    <w:p w:rsidR="00106A2A" w:rsidRPr="00106A2A" w:rsidRDefault="00106A2A" w:rsidP="00106A2A">
      <w:pPr>
        <w:widowControl/>
        <w:spacing w:before="240" w:after="120"/>
        <w:jc w:val="both"/>
        <w:rPr>
          <w:szCs w:val="22"/>
          <w:lang w:eastAsia="en-US"/>
        </w:rPr>
      </w:pPr>
      <w:r w:rsidRPr="00106A2A">
        <w:rPr>
          <w:rFonts w:eastAsia="Calibri"/>
          <w:szCs w:val="22"/>
          <w:lang w:eastAsia="en-US"/>
        </w:rPr>
        <w:t>При</w:t>
      </w:r>
    </w:p>
    <w:p w:rsidR="00106A2A" w:rsidRPr="00106A2A" w:rsidRDefault="00106A2A" w:rsidP="00106A2A">
      <w:pPr>
        <w:widowControl/>
        <w:spacing w:before="240" w:after="120"/>
        <w:jc w:val="center"/>
        <w:rPr>
          <w:szCs w:val="22"/>
          <w:lang w:eastAsia="en-US"/>
        </w:rPr>
      </w:pPr>
      <w:r w:rsidRPr="00106A2A">
        <w:rPr>
          <w:rFonts w:eastAsia="Calibri"/>
          <w:szCs w:val="22"/>
          <w:lang w:eastAsia="en-US"/>
        </w:rPr>
        <w:t>β</w:t>
      </w:r>
      <w:r w:rsidRPr="00106A2A">
        <w:rPr>
          <w:rFonts w:eastAsia="Calibri"/>
          <w:szCs w:val="22"/>
          <w:vertAlign w:val="subscript"/>
          <w:lang w:eastAsia="en-US"/>
        </w:rPr>
        <w:t>i</w:t>
      </w:r>
      <w:r w:rsidRPr="00106A2A">
        <w:rPr>
          <w:rFonts w:eastAsia="Calibri"/>
          <w:szCs w:val="22"/>
          <w:lang w:eastAsia="en-US"/>
        </w:rPr>
        <w:t xml:space="preserve"> = min(</w:t>
      </w:r>
      <m:oMath>
        <m:f>
          <m:fPr>
            <m:ctrlPr>
              <w:rPr>
                <w:rFonts w:ascii="Cambria Math" w:hAnsi="Cambria Math"/>
                <w:i/>
                <w:szCs w:val="22"/>
                <w:lang w:eastAsia="en-US"/>
              </w:rPr>
            </m:ctrlPr>
          </m:fPr>
          <m:num>
            <m:sSub>
              <m:sSubPr>
                <m:ctrlPr>
                  <w:rPr>
                    <w:rFonts w:ascii="Cambria Math" w:hAnsi="Cambria Math"/>
                    <w:i/>
                    <w:szCs w:val="22"/>
                    <w:lang w:eastAsia="en-US"/>
                  </w:rPr>
                </m:ctrlPr>
              </m:sSubPr>
              <m:e>
                <m:r>
                  <w:rPr>
                    <w:rFonts w:ascii="Cambria Math" w:hAnsi="Cambria Math"/>
                    <w:szCs w:val="22"/>
                    <w:lang w:eastAsia="en-US"/>
                  </w:rPr>
                  <m:t>rural pop</m:t>
                </m:r>
              </m:e>
              <m:sub>
                <m:r>
                  <w:rPr>
                    <w:rFonts w:ascii="Cambria Math" w:hAnsi="Cambria Math"/>
                    <w:szCs w:val="22"/>
                    <w:lang w:eastAsia="en-US"/>
                  </w:rPr>
                  <m:t>i</m:t>
                </m:r>
              </m:sub>
            </m:sSub>
          </m:num>
          <m:den>
            <m:sSub>
              <m:sSubPr>
                <m:ctrlPr>
                  <w:rPr>
                    <w:rFonts w:ascii="Cambria Math" w:hAnsi="Cambria Math"/>
                    <w:i/>
                    <w:szCs w:val="22"/>
                    <w:lang w:eastAsia="en-US"/>
                  </w:rPr>
                </m:ctrlPr>
              </m:sSubPr>
              <m:e>
                <m:r>
                  <w:rPr>
                    <w:rFonts w:ascii="Cambria Math" w:hAnsi="Cambria Math"/>
                    <w:szCs w:val="22"/>
                    <w:lang w:eastAsia="en-US"/>
                  </w:rPr>
                  <m:t>rural pop</m:t>
                </m:r>
              </m:e>
              <m:sub>
                <m:r>
                  <w:rPr>
                    <w:rFonts w:ascii="Cambria Math" w:hAnsi="Cambria Math"/>
                    <w:szCs w:val="22"/>
                    <w:lang w:eastAsia="en-US"/>
                  </w:rPr>
                  <m:t>EU</m:t>
                </m:r>
              </m:sub>
            </m:sSub>
          </m:den>
        </m:f>
        <m:r>
          <w:rPr>
            <w:rFonts w:ascii="Cambria Math" w:hAnsi="Cambria Math"/>
            <w:szCs w:val="22"/>
            <w:lang w:eastAsia="en-US"/>
          </w:rPr>
          <m:t>,</m:t>
        </m:r>
        <m:f>
          <m:fPr>
            <m:ctrlPr>
              <w:rPr>
                <w:rFonts w:ascii="Cambria Math" w:hAnsi="Cambria Math"/>
                <w:i/>
                <w:szCs w:val="22"/>
                <w:lang w:eastAsia="en-US"/>
              </w:rPr>
            </m:ctrlPr>
          </m:fPr>
          <m:num>
            <m:sSub>
              <m:sSubPr>
                <m:ctrlPr>
                  <w:rPr>
                    <w:rFonts w:ascii="Cambria Math" w:hAnsi="Cambria Math"/>
                    <w:i/>
                    <w:szCs w:val="22"/>
                    <w:lang w:eastAsia="en-US"/>
                  </w:rPr>
                </m:ctrlPr>
              </m:sSubPr>
              <m:e>
                <m:r>
                  <w:rPr>
                    <w:rFonts w:ascii="Cambria Math" w:hAnsi="Cambria Math"/>
                    <w:szCs w:val="22"/>
                    <w:lang w:eastAsia="en-US"/>
                  </w:rPr>
                  <m:t>pop</m:t>
                </m:r>
              </m:e>
              <m:sub>
                <m:r>
                  <w:rPr>
                    <w:rFonts w:ascii="Cambria Math" w:hAnsi="Cambria Math"/>
                    <w:szCs w:val="22"/>
                    <w:lang w:eastAsia="en-US"/>
                  </w:rPr>
                  <m:t>i</m:t>
                </m:r>
              </m:sub>
            </m:sSub>
          </m:num>
          <m:den>
            <m:sSub>
              <m:sSubPr>
                <m:ctrlPr>
                  <w:rPr>
                    <w:rFonts w:ascii="Cambria Math" w:hAnsi="Cambria Math"/>
                    <w:i/>
                    <w:szCs w:val="22"/>
                    <w:lang w:eastAsia="en-US"/>
                  </w:rPr>
                </m:ctrlPr>
              </m:sSubPr>
              <m:e>
                <m:r>
                  <w:rPr>
                    <w:rFonts w:ascii="Cambria Math" w:hAnsi="Cambria Math"/>
                    <w:szCs w:val="22"/>
                    <w:lang w:eastAsia="en-US"/>
                  </w:rPr>
                  <m:t>pop</m:t>
                </m:r>
              </m:e>
              <m:sub>
                <m:r>
                  <w:rPr>
                    <w:rFonts w:ascii="Cambria Math" w:hAnsi="Cambria Math"/>
                    <w:szCs w:val="22"/>
                    <w:lang w:eastAsia="en-US"/>
                  </w:rPr>
                  <m:t>EU</m:t>
                </m:r>
              </m:sub>
            </m:sSub>
          </m:den>
        </m:f>
        <m:r>
          <w:rPr>
            <w:rFonts w:ascii="Cambria Math" w:hAnsi="Cambria Math"/>
            <w:szCs w:val="22"/>
            <w:lang w:eastAsia="en-US"/>
          </w:rPr>
          <m:t>×</m:t>
        </m:r>
        <m:sSub>
          <m:sSubPr>
            <m:ctrlPr>
              <w:rPr>
                <w:rFonts w:ascii="Cambria Math" w:hAnsi="Cambria Math"/>
                <w:i/>
                <w:szCs w:val="22"/>
                <w:lang w:eastAsia="en-US"/>
              </w:rPr>
            </m:ctrlPr>
          </m:sSubPr>
          <m:e>
            <m:r>
              <w:rPr>
                <w:rFonts w:ascii="Cambria Math" w:hAnsi="Cambria Math"/>
                <w:szCs w:val="22"/>
                <w:lang w:eastAsia="en-US"/>
              </w:rPr>
              <m:t>f</m:t>
            </m:r>
          </m:e>
          <m:sub>
            <m:r>
              <w:rPr>
                <w:rFonts w:ascii="Cambria Math" w:hAnsi="Cambria Math"/>
                <w:szCs w:val="22"/>
                <w:lang w:eastAsia="en-US"/>
              </w:rPr>
              <m:t>i</m:t>
            </m:r>
          </m:sub>
        </m:sSub>
        <m:r>
          <w:rPr>
            <w:rFonts w:ascii="Cambria Math" w:hAnsi="Cambria Math"/>
            <w:szCs w:val="22"/>
            <w:lang w:eastAsia="en-US"/>
          </w:rPr>
          <m:t>)</m:t>
        </m:r>
      </m:oMath>
    </w:p>
    <w:p w:rsidR="00106A2A" w:rsidRPr="00106A2A" w:rsidRDefault="00106A2A" w:rsidP="00106A2A">
      <w:pPr>
        <w:widowControl/>
        <w:spacing w:before="240" w:after="120"/>
        <w:jc w:val="both"/>
        <w:rPr>
          <w:szCs w:val="22"/>
          <w:lang w:eastAsia="en-US"/>
        </w:rPr>
      </w:pPr>
      <m:oMathPara>
        <m:oMath>
          <m:sSub>
            <m:sSubPr>
              <m:ctrlPr>
                <w:rPr>
                  <w:rFonts w:ascii="Cambria Math" w:eastAsia="Calibri" w:hAnsi="Cambria Math"/>
                  <w:i/>
                  <w:szCs w:val="22"/>
                  <w:lang w:eastAsia="en-US"/>
                </w:rPr>
              </m:ctrlPr>
            </m:sSubPr>
            <m:e>
              <m:r>
                <w:rPr>
                  <w:rFonts w:ascii="Cambria Math" w:eastAsia="Calibri" w:hAnsi="Cambria Math"/>
                  <w:szCs w:val="22"/>
                  <w:lang w:eastAsia="en-US"/>
                </w:rPr>
                <m:t>λ</m:t>
              </m:r>
            </m:e>
            <m:sub>
              <m:r>
                <w:rPr>
                  <w:rFonts w:ascii="Cambria Math" w:eastAsia="Calibri" w:hAnsi="Cambria Math"/>
                  <w:szCs w:val="22"/>
                  <w:lang w:eastAsia="en-US"/>
                </w:rPr>
                <m:t>i</m:t>
              </m:r>
            </m:sub>
          </m:sSub>
          <m:sSub>
            <m:sSubPr>
              <m:ctrlPr>
                <w:rPr>
                  <w:rFonts w:ascii="Cambria Math" w:eastAsia="Calibri" w:hAnsi="Cambria Math"/>
                  <w:i/>
                  <w:szCs w:val="22"/>
                  <w:lang w:eastAsia="en-US"/>
                </w:rPr>
              </m:ctrlPr>
            </m:sSubPr>
            <m:e>
              <m:r>
                <w:rPr>
                  <w:rFonts w:ascii="Cambria Math" w:eastAsia="Calibri" w:hAnsi="Cambria Math"/>
                  <w:szCs w:val="22"/>
                  <w:lang w:eastAsia="en-US"/>
                </w:rPr>
                <m:t>= γ</m:t>
              </m:r>
            </m:e>
            <m:sub>
              <m:r>
                <w:rPr>
                  <w:rFonts w:ascii="Cambria Math" w:eastAsia="Calibri" w:hAnsi="Cambria Math"/>
                  <w:szCs w:val="22"/>
                  <w:lang w:eastAsia="en-US"/>
                </w:rPr>
                <m:t>i</m:t>
              </m:r>
            </m:sub>
          </m:sSub>
          <m:sSub>
            <m:sSubPr>
              <m:ctrlPr>
                <w:rPr>
                  <w:rFonts w:ascii="Cambria Math" w:eastAsia="Calibri" w:hAnsi="Cambria Math"/>
                  <w:i/>
                  <w:szCs w:val="22"/>
                  <w:lang w:eastAsia="en-US"/>
                </w:rPr>
              </m:ctrlPr>
            </m:sSubPr>
            <m:e>
              <m:r>
                <w:rPr>
                  <w:rFonts w:ascii="Cambria Math" w:eastAsia="Calibri" w:hAnsi="Cambria Math"/>
                  <w:szCs w:val="22"/>
                  <w:lang w:eastAsia="en-US"/>
                </w:rPr>
                <m:t>×δ</m:t>
              </m:r>
            </m:e>
            <m:sub>
              <m:r>
                <w:rPr>
                  <w:rFonts w:ascii="Cambria Math" w:eastAsia="Calibri" w:hAnsi="Cambria Math"/>
                  <w:szCs w:val="22"/>
                  <w:lang w:eastAsia="en-US"/>
                </w:rPr>
                <m:t>i</m:t>
              </m:r>
            </m:sub>
          </m:sSub>
        </m:oMath>
      </m:oMathPara>
    </w:p>
    <w:p w:rsidR="00106A2A" w:rsidRPr="00106A2A" w:rsidRDefault="00106A2A" w:rsidP="00106A2A">
      <w:pPr>
        <w:widowControl/>
        <w:spacing w:before="240" w:after="120"/>
        <w:jc w:val="center"/>
        <w:rPr>
          <w:szCs w:val="22"/>
          <w:lang w:eastAsia="en-US"/>
        </w:rPr>
      </w:pPr>
      <w:r w:rsidRPr="00106A2A">
        <w:rPr>
          <w:rFonts w:eastAsia="Calibri"/>
          <w:i/>
          <w:iCs/>
          <w:szCs w:val="22"/>
          <w:lang w:eastAsia="en-US"/>
        </w:rPr>
        <w:t>γ</w:t>
      </w:r>
      <w:r w:rsidRPr="00106A2A">
        <w:rPr>
          <w:rFonts w:eastAsia="Calibri"/>
          <w:i/>
          <w:iCs/>
          <w:szCs w:val="22"/>
          <w:vertAlign w:val="subscript"/>
          <w:lang w:eastAsia="en-US"/>
        </w:rPr>
        <w:t>i</w:t>
      </w:r>
      <w:r w:rsidRPr="00106A2A">
        <w:rPr>
          <w:rFonts w:eastAsia="Calibri"/>
          <w:szCs w:val="22"/>
          <w:lang w:eastAsia="en-US"/>
        </w:rPr>
        <w:t xml:space="preserve"> = </w:t>
      </w:r>
      <m:oMath>
        <m:f>
          <m:fPr>
            <m:ctrlPr>
              <w:rPr>
                <w:rFonts w:ascii="Cambria Math" w:hAnsi="Cambria Math"/>
                <w:i/>
                <w:szCs w:val="22"/>
                <w:lang w:eastAsia="en-US"/>
              </w:rPr>
            </m:ctrlPr>
          </m:fPr>
          <m:num>
            <m:sSub>
              <m:sSubPr>
                <m:ctrlPr>
                  <w:rPr>
                    <w:rFonts w:ascii="Cambria Math" w:hAnsi="Cambria Math"/>
                    <w:i/>
                    <w:szCs w:val="22"/>
                    <w:lang w:eastAsia="en-US"/>
                  </w:rPr>
                </m:ctrlPr>
              </m:sSubPr>
              <m:e>
                <m:r>
                  <w:rPr>
                    <w:rFonts w:ascii="Cambria Math" w:hAnsi="Cambria Math"/>
                    <w:szCs w:val="22"/>
                    <w:lang w:eastAsia="en-US"/>
                  </w:rPr>
                  <m:t>HCO2</m:t>
                </m:r>
              </m:e>
              <m:sub>
                <m:r>
                  <w:rPr>
                    <w:rFonts w:ascii="Cambria Math" w:hAnsi="Cambria Math"/>
                    <w:szCs w:val="22"/>
                    <w:lang w:eastAsia="en-US"/>
                  </w:rPr>
                  <m:t>i</m:t>
                </m:r>
              </m:sub>
            </m:sSub>
          </m:num>
          <m:den>
            <m:sSub>
              <m:sSubPr>
                <m:ctrlPr>
                  <w:rPr>
                    <w:rFonts w:ascii="Cambria Math" w:hAnsi="Cambria Math"/>
                    <w:i/>
                    <w:szCs w:val="22"/>
                    <w:lang w:eastAsia="en-US"/>
                  </w:rPr>
                </m:ctrlPr>
              </m:sSubPr>
              <m:e>
                <m:r>
                  <w:rPr>
                    <w:rFonts w:ascii="Cambria Math" w:hAnsi="Cambria Math"/>
                    <w:szCs w:val="22"/>
                    <w:lang w:eastAsia="en-US"/>
                  </w:rPr>
                  <m:t>HCO2</m:t>
                </m:r>
              </m:e>
              <m:sub>
                <m:r>
                  <w:rPr>
                    <w:rFonts w:ascii="Cambria Math" w:hAnsi="Cambria Math"/>
                    <w:szCs w:val="22"/>
                    <w:lang w:eastAsia="en-US"/>
                  </w:rPr>
                  <m:t>EU</m:t>
                </m:r>
              </m:sub>
            </m:sSub>
          </m:den>
        </m:f>
      </m:oMath>
    </w:p>
    <w:p w:rsidR="00106A2A" w:rsidRPr="00106A2A" w:rsidRDefault="00106A2A" w:rsidP="00106A2A">
      <w:pPr>
        <w:widowControl/>
        <w:spacing w:before="240" w:after="120"/>
        <w:jc w:val="center"/>
        <w:rPr>
          <w:szCs w:val="22"/>
          <w:lang w:eastAsia="en-US"/>
        </w:rPr>
      </w:pPr>
      <w:r w:rsidRPr="00106A2A">
        <w:rPr>
          <w:rFonts w:eastAsia="Calibri"/>
          <w:i/>
          <w:iCs/>
          <w:szCs w:val="22"/>
          <w:lang w:eastAsia="en-US"/>
        </w:rPr>
        <w:t>δ</w:t>
      </w:r>
      <w:r w:rsidRPr="00106A2A">
        <w:rPr>
          <w:rFonts w:eastAsia="Calibri"/>
          <w:i/>
          <w:iCs/>
          <w:szCs w:val="22"/>
          <w:vertAlign w:val="subscript"/>
          <w:lang w:eastAsia="en-US"/>
        </w:rPr>
        <w:t>i</w:t>
      </w:r>
      <w:r w:rsidRPr="00106A2A">
        <w:rPr>
          <w:rFonts w:eastAsia="Calibri"/>
          <w:szCs w:val="22"/>
          <w:lang w:eastAsia="en-US"/>
        </w:rPr>
        <w:t xml:space="preserve"> = min(</w:t>
      </w:r>
      <m:oMath>
        <m:f>
          <m:fPr>
            <m:ctrlPr>
              <w:rPr>
                <w:rFonts w:ascii="Cambria Math" w:hAnsi="Cambria Math"/>
                <w:i/>
                <w:szCs w:val="22"/>
                <w:lang w:eastAsia="en-US"/>
              </w:rPr>
            </m:ctrlPr>
          </m:fPr>
          <m:num>
            <m:sSub>
              <m:sSubPr>
                <m:ctrlPr>
                  <w:rPr>
                    <w:rFonts w:ascii="Cambria Math" w:hAnsi="Cambria Math"/>
                    <w:i/>
                    <w:szCs w:val="22"/>
                    <w:lang w:eastAsia="en-US"/>
                  </w:rPr>
                </m:ctrlPr>
              </m:sSubPr>
              <m:e>
                <m:r>
                  <w:rPr>
                    <w:rFonts w:ascii="Cambria Math" w:hAnsi="Cambria Math"/>
                    <w:szCs w:val="22"/>
                    <w:lang w:eastAsia="en-US"/>
                  </w:rPr>
                  <m:t>arrears</m:t>
                </m:r>
              </m:e>
              <m:sub>
                <m:r>
                  <w:rPr>
                    <w:rFonts w:ascii="Cambria Math" w:hAnsi="Cambria Math"/>
                    <w:szCs w:val="22"/>
                    <w:lang w:eastAsia="en-US"/>
                  </w:rPr>
                  <m:t>i</m:t>
                </m:r>
              </m:sub>
            </m:sSub>
          </m:num>
          <m:den>
            <m:sSub>
              <m:sSubPr>
                <m:ctrlPr>
                  <w:rPr>
                    <w:rFonts w:ascii="Cambria Math" w:hAnsi="Cambria Math"/>
                    <w:i/>
                    <w:szCs w:val="22"/>
                    <w:lang w:eastAsia="en-US"/>
                  </w:rPr>
                </m:ctrlPr>
              </m:sSubPr>
              <m:e>
                <m:r>
                  <w:rPr>
                    <w:rFonts w:ascii="Cambria Math" w:hAnsi="Cambria Math"/>
                    <w:szCs w:val="22"/>
                    <w:lang w:eastAsia="en-US"/>
                  </w:rPr>
                  <m:t>arrears</m:t>
                </m:r>
              </m:e>
              <m:sub>
                <m:r>
                  <w:rPr>
                    <w:rFonts w:ascii="Cambria Math" w:hAnsi="Cambria Math"/>
                    <w:szCs w:val="22"/>
                    <w:lang w:eastAsia="en-US"/>
                  </w:rPr>
                  <m:t>EU</m:t>
                </m:r>
              </m:sub>
            </m:sSub>
          </m:den>
        </m:f>
        <m:r>
          <w:rPr>
            <w:rFonts w:ascii="Cambria Math" w:hAnsi="Cambria Math"/>
            <w:szCs w:val="22"/>
            <w:lang w:eastAsia="en-US"/>
          </w:rPr>
          <m:t>,</m:t>
        </m:r>
        <m:sSub>
          <m:sSubPr>
            <m:ctrlPr>
              <w:rPr>
                <w:rFonts w:ascii="Cambria Math" w:hAnsi="Cambria Math"/>
                <w:i/>
                <w:szCs w:val="22"/>
                <w:lang w:eastAsia="en-US"/>
              </w:rPr>
            </m:ctrlPr>
          </m:sSubPr>
          <m:e>
            <m:r>
              <w:rPr>
                <w:rFonts w:ascii="Cambria Math" w:hAnsi="Cambria Math"/>
                <w:szCs w:val="22"/>
                <w:lang w:eastAsia="en-US"/>
              </w:rPr>
              <m:t>f</m:t>
            </m:r>
          </m:e>
          <m:sub>
            <m:r>
              <w:rPr>
                <w:rFonts w:ascii="Cambria Math" w:hAnsi="Cambria Math"/>
                <w:szCs w:val="22"/>
                <w:lang w:eastAsia="en-US"/>
              </w:rPr>
              <m:t>i</m:t>
            </m:r>
          </m:sub>
        </m:sSub>
        <m:r>
          <w:rPr>
            <w:rFonts w:ascii="Cambria Math" w:hAnsi="Cambria Math"/>
            <w:szCs w:val="22"/>
            <w:lang w:eastAsia="en-US"/>
          </w:rPr>
          <m:t>)</m:t>
        </m:r>
      </m:oMath>
    </w:p>
    <w:p w:rsidR="00106A2A" w:rsidRPr="00106A2A" w:rsidRDefault="00106A2A" w:rsidP="00106A2A">
      <w:pPr>
        <w:widowControl/>
        <w:spacing w:before="240" w:after="120"/>
        <w:jc w:val="center"/>
        <w:rPr>
          <w:szCs w:val="22"/>
          <w:lang w:eastAsia="en-US"/>
        </w:rPr>
      </w:pPr>
      <w:r w:rsidRPr="00106A2A">
        <w:rPr>
          <w:rFonts w:eastAsia="Calibri"/>
          <w:i/>
          <w:iCs/>
          <w:szCs w:val="22"/>
          <w:lang w:eastAsia="en-US"/>
        </w:rPr>
        <w:t>f</w:t>
      </w:r>
      <w:r w:rsidRPr="00106A2A">
        <w:rPr>
          <w:rFonts w:eastAsia="Calibri"/>
          <w:i/>
          <w:iCs/>
          <w:szCs w:val="22"/>
          <w:vertAlign w:val="subscript"/>
          <w:lang w:eastAsia="en-US"/>
        </w:rPr>
        <w:t>i</w:t>
      </w:r>
      <w:r w:rsidRPr="00106A2A">
        <w:rPr>
          <w:rFonts w:eastAsia="Calibri"/>
          <w:szCs w:val="22"/>
          <w:lang w:eastAsia="en-US"/>
        </w:rPr>
        <w:t xml:space="preserve"> = 1, ако </w:t>
      </w:r>
      <m:oMath>
        <m:sSubSup>
          <m:sSubSupPr>
            <m:ctrlPr>
              <w:rPr>
                <w:rFonts w:ascii="Cambria Math" w:eastAsia="Calibri" w:hAnsi="Cambria Math"/>
                <w:i/>
                <w:szCs w:val="22"/>
                <w:lang w:eastAsia="en-US"/>
              </w:rPr>
            </m:ctrlPr>
          </m:sSubSupPr>
          <m:e>
            <m:r>
              <w:rPr>
                <w:rFonts w:ascii="Cambria Math" w:eastAsia="Calibri" w:hAnsi="Cambria Math"/>
                <w:szCs w:val="22"/>
                <w:lang w:eastAsia="en-US"/>
              </w:rPr>
              <m:t>GNI</m:t>
            </m:r>
          </m:e>
          <m:sub>
            <m:r>
              <w:rPr>
                <w:rFonts w:ascii="Cambria Math" w:eastAsia="Calibri" w:hAnsi="Cambria Math"/>
                <w:szCs w:val="22"/>
                <w:lang w:eastAsia="en-US"/>
              </w:rPr>
              <m:t>i</m:t>
            </m:r>
          </m:sub>
          <m:sup>
            <m:r>
              <w:rPr>
                <w:rFonts w:ascii="Cambria Math" w:eastAsia="Calibri" w:hAnsi="Cambria Math"/>
                <w:szCs w:val="22"/>
                <w:lang w:eastAsia="en-US"/>
              </w:rPr>
              <m:t>PC</m:t>
            </m:r>
          </m:sup>
        </m:sSubSup>
        <m:r>
          <w:rPr>
            <w:rFonts w:ascii="Cambria Math" w:eastAsia="Calibri" w:hAnsi="Cambria Math"/>
            <w:szCs w:val="22"/>
            <w:lang w:eastAsia="en-US"/>
          </w:rPr>
          <m:t>≥</m:t>
        </m:r>
        <m:sSubSup>
          <m:sSubSupPr>
            <m:ctrlPr>
              <w:rPr>
                <w:rFonts w:ascii="Cambria Math" w:eastAsia="Calibri" w:hAnsi="Cambria Math"/>
                <w:i/>
                <w:szCs w:val="22"/>
                <w:lang w:eastAsia="en-US"/>
              </w:rPr>
            </m:ctrlPr>
          </m:sSubSupPr>
          <m:e>
            <m:r>
              <w:rPr>
                <w:rFonts w:ascii="Cambria Math" w:eastAsia="Calibri" w:hAnsi="Cambria Math"/>
                <w:szCs w:val="22"/>
                <w:lang w:eastAsia="en-US"/>
              </w:rPr>
              <m:t>GNI</m:t>
            </m:r>
          </m:e>
          <m:sub>
            <m:r>
              <w:rPr>
                <w:rFonts w:ascii="Cambria Math" w:eastAsia="Calibri" w:hAnsi="Cambria Math"/>
                <w:szCs w:val="22"/>
                <w:lang w:eastAsia="en-US"/>
              </w:rPr>
              <m:t>EU</m:t>
            </m:r>
          </m:sub>
          <m:sup>
            <m:r>
              <w:rPr>
                <w:rFonts w:ascii="Cambria Math" w:eastAsia="Calibri" w:hAnsi="Cambria Math"/>
                <w:szCs w:val="22"/>
                <w:lang w:eastAsia="en-US"/>
              </w:rPr>
              <m:t>PC</m:t>
            </m:r>
          </m:sup>
        </m:sSubSup>
      </m:oMath>
      <w:r w:rsidRPr="00106A2A">
        <w:rPr>
          <w:rFonts w:eastAsia="Calibri"/>
          <w:szCs w:val="22"/>
          <w:lang w:eastAsia="en-US"/>
        </w:rPr>
        <w:t xml:space="preserve">; </w:t>
      </w:r>
      <w:r w:rsidRPr="00106A2A">
        <w:rPr>
          <w:rFonts w:eastAsia="Calibri"/>
          <w:i/>
          <w:iCs/>
          <w:szCs w:val="22"/>
          <w:lang w:eastAsia="en-US"/>
        </w:rPr>
        <w:t>f</w:t>
      </w:r>
      <w:r w:rsidRPr="00106A2A">
        <w:rPr>
          <w:rFonts w:eastAsia="Calibri"/>
          <w:i/>
          <w:iCs/>
          <w:szCs w:val="22"/>
          <w:vertAlign w:val="subscript"/>
          <w:lang w:eastAsia="en-US"/>
        </w:rPr>
        <w:t>i</w:t>
      </w:r>
      <w:r w:rsidRPr="00106A2A">
        <w:rPr>
          <w:rFonts w:eastAsia="Calibri"/>
          <w:szCs w:val="22"/>
          <w:lang w:eastAsia="en-US"/>
        </w:rPr>
        <w:t xml:space="preserve"> = 2,5, ако </w:t>
      </w:r>
      <m:oMath>
        <m:sSubSup>
          <m:sSubSupPr>
            <m:ctrlPr>
              <w:rPr>
                <w:rFonts w:ascii="Cambria Math" w:eastAsia="Calibri" w:hAnsi="Cambria Math"/>
                <w:i/>
                <w:szCs w:val="22"/>
                <w:lang w:eastAsia="en-US"/>
              </w:rPr>
            </m:ctrlPr>
          </m:sSubSupPr>
          <m:e>
            <m:r>
              <w:rPr>
                <w:rFonts w:ascii="Cambria Math" w:eastAsia="Calibri" w:hAnsi="Cambria Math"/>
                <w:szCs w:val="22"/>
                <w:lang w:eastAsia="en-US"/>
              </w:rPr>
              <m:t>GNI</m:t>
            </m:r>
          </m:e>
          <m:sub>
            <m:r>
              <w:rPr>
                <w:rFonts w:ascii="Cambria Math" w:eastAsia="Calibri" w:hAnsi="Cambria Math"/>
                <w:szCs w:val="22"/>
                <w:lang w:eastAsia="en-US"/>
              </w:rPr>
              <m:t>i</m:t>
            </m:r>
          </m:sub>
          <m:sup>
            <m:r>
              <w:rPr>
                <w:rFonts w:ascii="Cambria Math" w:eastAsia="Calibri" w:hAnsi="Cambria Math"/>
                <w:szCs w:val="22"/>
                <w:lang w:eastAsia="en-US"/>
              </w:rPr>
              <m:t>PC</m:t>
            </m:r>
          </m:sup>
        </m:sSubSup>
        <m:r>
          <w:rPr>
            <w:rFonts w:ascii="Cambria Math" w:eastAsia="Calibri" w:hAnsi="Cambria Math"/>
            <w:szCs w:val="22"/>
            <w:lang w:eastAsia="en-US"/>
          </w:rPr>
          <m:t>&lt;</m:t>
        </m:r>
        <m:sSubSup>
          <m:sSubSupPr>
            <m:ctrlPr>
              <w:rPr>
                <w:rFonts w:ascii="Cambria Math" w:eastAsia="Calibri" w:hAnsi="Cambria Math"/>
                <w:i/>
                <w:szCs w:val="22"/>
                <w:lang w:eastAsia="en-US"/>
              </w:rPr>
            </m:ctrlPr>
          </m:sSubSupPr>
          <m:e>
            <m:r>
              <w:rPr>
                <w:rFonts w:ascii="Cambria Math" w:eastAsia="Calibri" w:hAnsi="Cambria Math"/>
                <w:szCs w:val="22"/>
                <w:lang w:eastAsia="en-US"/>
              </w:rPr>
              <m:t>GNI</m:t>
            </m:r>
          </m:e>
          <m:sub>
            <m:r>
              <w:rPr>
                <w:rFonts w:ascii="Cambria Math" w:eastAsia="Calibri" w:hAnsi="Cambria Math"/>
                <w:szCs w:val="22"/>
                <w:lang w:eastAsia="en-US"/>
              </w:rPr>
              <m:t>EU</m:t>
            </m:r>
          </m:sub>
          <m:sup>
            <m:r>
              <w:rPr>
                <w:rFonts w:ascii="Cambria Math" w:eastAsia="Calibri" w:hAnsi="Cambria Math"/>
                <w:szCs w:val="22"/>
                <w:lang w:eastAsia="en-US"/>
              </w:rPr>
              <m:t>PC</m:t>
            </m:r>
          </m:sup>
        </m:sSubSup>
      </m:oMath>
    </w:p>
    <w:p w:rsidR="00106A2A" w:rsidRPr="00106A2A" w:rsidRDefault="00106A2A" w:rsidP="00106A2A">
      <w:pPr>
        <w:widowControl/>
        <w:spacing w:before="120" w:after="120" w:line="360" w:lineRule="auto"/>
        <w:rPr>
          <w:szCs w:val="22"/>
          <w:lang w:eastAsia="en-US"/>
        </w:rPr>
      </w:pPr>
      <w:r w:rsidRPr="00106A2A">
        <w:rPr>
          <w:rFonts w:eastAsia="Calibri"/>
          <w:szCs w:val="22"/>
          <w:lang w:eastAsia="en-US"/>
        </w:rPr>
        <w:br w:type="page"/>
      </w:r>
    </w:p>
    <w:p w:rsidR="00106A2A" w:rsidRPr="00106A2A" w:rsidRDefault="00106A2A" w:rsidP="00106A2A">
      <w:pPr>
        <w:widowControl/>
        <w:spacing w:before="240" w:after="120"/>
        <w:jc w:val="both"/>
        <w:rPr>
          <w:szCs w:val="22"/>
          <w:lang w:eastAsia="en-US"/>
        </w:rPr>
      </w:pPr>
      <w:r w:rsidRPr="00106A2A">
        <w:rPr>
          <w:rFonts w:eastAsia="Calibri"/>
          <w:szCs w:val="22"/>
          <w:lang w:eastAsia="en-US"/>
        </w:rPr>
        <w:t>Където за всяка държава членка i:</w:t>
      </w:r>
    </w:p>
    <w:p w:rsidR="00106A2A" w:rsidRPr="00106A2A" w:rsidRDefault="00106A2A" w:rsidP="00106A2A">
      <w:pPr>
        <w:widowControl/>
        <w:spacing w:before="240" w:after="120" w:line="360" w:lineRule="auto"/>
        <w:ind w:left="720"/>
        <w:jc w:val="both"/>
        <w:rPr>
          <w:szCs w:val="22"/>
          <w:lang w:eastAsia="en-US"/>
        </w:rPr>
      </w:pPr>
      <m:oMath>
        <m:sSub>
          <m:sSubPr>
            <m:ctrlPr>
              <w:rPr>
                <w:rFonts w:ascii="Cambria Math" w:hAnsi="Cambria Math"/>
                <w:i/>
                <w:szCs w:val="22"/>
                <w:lang w:eastAsia="en-US"/>
              </w:rPr>
            </m:ctrlPr>
          </m:sSubPr>
          <m:e>
            <m:r>
              <w:rPr>
                <w:rFonts w:ascii="Cambria Math" w:hAnsi="Cambria Math"/>
                <w:szCs w:val="22"/>
                <w:lang w:eastAsia="en-US"/>
              </w:rPr>
              <m:t>rural pop</m:t>
            </m:r>
          </m:e>
          <m:sub>
            <m:r>
              <w:rPr>
                <w:rFonts w:ascii="Cambria Math" w:hAnsi="Cambria Math"/>
                <w:szCs w:val="22"/>
                <w:lang w:eastAsia="en-US"/>
              </w:rPr>
              <m:t>i</m:t>
            </m:r>
          </m:sub>
        </m:sSub>
      </m:oMath>
      <w:r w:rsidRPr="00106A2A">
        <w:rPr>
          <w:rFonts w:eastAsia="Calibri"/>
          <w:szCs w:val="22"/>
          <w:lang w:eastAsia="en-US"/>
        </w:rPr>
        <w:t xml:space="preserve"> е изложеното на риск от бедност население на държавата членка i, живеещо в селски райони;</w:t>
      </w:r>
    </w:p>
    <w:p w:rsidR="00106A2A" w:rsidRPr="00106A2A" w:rsidRDefault="00106A2A" w:rsidP="00106A2A">
      <w:pPr>
        <w:widowControl/>
        <w:spacing w:before="240" w:after="120" w:line="360" w:lineRule="auto"/>
        <w:ind w:left="720"/>
        <w:jc w:val="both"/>
        <w:rPr>
          <w:szCs w:val="22"/>
          <w:lang w:eastAsia="en-US"/>
        </w:rPr>
      </w:pPr>
      <m:oMath>
        <m:sSub>
          <m:sSubPr>
            <m:ctrlPr>
              <w:rPr>
                <w:rFonts w:ascii="Cambria Math" w:hAnsi="Cambria Math"/>
                <w:i/>
                <w:szCs w:val="22"/>
                <w:lang w:eastAsia="en-US"/>
              </w:rPr>
            </m:ctrlPr>
          </m:sSubPr>
          <m:e>
            <m:r>
              <w:rPr>
                <w:rFonts w:ascii="Cambria Math" w:hAnsi="Cambria Math"/>
                <w:szCs w:val="22"/>
                <w:lang w:eastAsia="en-US"/>
              </w:rPr>
              <m:t>rural pop</m:t>
            </m:r>
          </m:e>
          <m:sub>
            <m:r>
              <w:rPr>
                <w:rFonts w:ascii="Cambria Math" w:hAnsi="Cambria Math"/>
                <w:szCs w:val="22"/>
                <w:lang w:eastAsia="en-US"/>
              </w:rPr>
              <m:t>EU</m:t>
            </m:r>
          </m:sub>
        </m:sSub>
      </m:oMath>
      <w:r w:rsidRPr="00106A2A">
        <w:rPr>
          <w:rFonts w:eastAsia="Calibri"/>
          <w:szCs w:val="22"/>
          <w:lang w:eastAsia="en-US"/>
        </w:rPr>
        <w:t xml:space="preserve"> е сумата на изложеното на риск от бедност население на държавите членки на ЕС-27, живеещо в селски райони;</w:t>
      </w:r>
    </w:p>
    <w:p w:rsidR="00106A2A" w:rsidRPr="00106A2A" w:rsidRDefault="00106A2A" w:rsidP="00106A2A">
      <w:pPr>
        <w:widowControl/>
        <w:spacing w:before="240" w:after="120" w:line="360" w:lineRule="auto"/>
        <w:ind w:left="720"/>
        <w:jc w:val="both"/>
        <w:rPr>
          <w:szCs w:val="22"/>
          <w:lang w:eastAsia="en-US"/>
        </w:rPr>
      </w:pPr>
      <m:oMath>
        <m:sSub>
          <m:sSubPr>
            <m:ctrlPr>
              <w:rPr>
                <w:rFonts w:ascii="Cambria Math" w:hAnsi="Cambria Math"/>
                <w:i/>
                <w:szCs w:val="22"/>
                <w:lang w:eastAsia="en-US"/>
              </w:rPr>
            </m:ctrlPr>
          </m:sSubPr>
          <m:e>
            <m:r>
              <w:rPr>
                <w:rFonts w:ascii="Cambria Math" w:hAnsi="Cambria Math"/>
                <w:szCs w:val="22"/>
                <w:lang w:eastAsia="en-US"/>
              </w:rPr>
              <m:t>pop</m:t>
            </m:r>
          </m:e>
          <m:sub>
            <m:r>
              <w:rPr>
                <w:rFonts w:ascii="Cambria Math" w:hAnsi="Cambria Math"/>
                <w:szCs w:val="22"/>
                <w:lang w:eastAsia="en-US"/>
              </w:rPr>
              <m:t>i</m:t>
            </m:r>
          </m:sub>
        </m:sSub>
      </m:oMath>
      <w:r w:rsidRPr="00106A2A">
        <w:rPr>
          <w:rFonts w:eastAsia="Calibri"/>
          <w:szCs w:val="22"/>
          <w:vertAlign w:val="subscript"/>
          <w:lang w:eastAsia="en-US"/>
        </w:rPr>
        <w:t xml:space="preserve"> </w:t>
      </w:r>
      <w:r w:rsidRPr="00106A2A">
        <w:rPr>
          <w:rFonts w:eastAsia="Calibri"/>
          <w:szCs w:val="22"/>
          <w:lang w:eastAsia="en-US"/>
        </w:rPr>
        <w:t>е населението на държавата членка i;</w:t>
      </w:r>
    </w:p>
    <w:p w:rsidR="00106A2A" w:rsidRPr="00106A2A" w:rsidRDefault="00106A2A" w:rsidP="00106A2A">
      <w:pPr>
        <w:widowControl/>
        <w:spacing w:before="240" w:after="120" w:line="360" w:lineRule="auto"/>
        <w:ind w:left="720"/>
        <w:jc w:val="both"/>
        <w:rPr>
          <w:szCs w:val="22"/>
          <w:lang w:eastAsia="en-US"/>
        </w:rPr>
      </w:pPr>
      <m:oMath>
        <m:sSub>
          <m:sSubPr>
            <m:ctrlPr>
              <w:rPr>
                <w:rFonts w:ascii="Cambria Math" w:hAnsi="Cambria Math"/>
                <w:i/>
                <w:szCs w:val="22"/>
                <w:lang w:eastAsia="en-US"/>
              </w:rPr>
            </m:ctrlPr>
          </m:sSubPr>
          <m:e>
            <m:r>
              <w:rPr>
                <w:rFonts w:ascii="Cambria Math" w:hAnsi="Cambria Math"/>
                <w:szCs w:val="22"/>
                <w:lang w:eastAsia="en-US"/>
              </w:rPr>
              <m:t>pop</m:t>
            </m:r>
          </m:e>
          <m:sub>
            <m:r>
              <w:rPr>
                <w:rFonts w:ascii="Cambria Math" w:hAnsi="Cambria Math"/>
                <w:szCs w:val="22"/>
                <w:lang w:eastAsia="en-US"/>
              </w:rPr>
              <m:t>EU</m:t>
            </m:r>
          </m:sub>
        </m:sSub>
      </m:oMath>
      <w:r w:rsidRPr="00106A2A">
        <w:rPr>
          <w:rFonts w:eastAsia="Calibri"/>
          <w:szCs w:val="22"/>
          <w:vertAlign w:val="subscript"/>
          <w:lang w:eastAsia="en-US"/>
        </w:rPr>
        <w:t xml:space="preserve"> </w:t>
      </w:r>
      <w:r w:rsidRPr="00106A2A">
        <w:rPr>
          <w:rFonts w:eastAsia="Calibri"/>
          <w:szCs w:val="22"/>
          <w:lang w:eastAsia="en-US"/>
        </w:rPr>
        <w:t>е сумата на населението на държавите членки на ЕС-27;</w:t>
      </w:r>
    </w:p>
    <w:p w:rsidR="00106A2A" w:rsidRPr="00106A2A" w:rsidRDefault="00106A2A" w:rsidP="00106A2A">
      <w:pPr>
        <w:widowControl/>
        <w:spacing w:before="240" w:after="120" w:line="360" w:lineRule="auto"/>
        <w:ind w:left="720"/>
        <w:jc w:val="both"/>
        <w:rPr>
          <w:rFonts w:eastAsia="Calibri"/>
          <w:szCs w:val="22"/>
          <w:lang w:eastAsia="en-US"/>
        </w:rPr>
      </w:pPr>
      <m:oMath>
        <m:sSub>
          <m:sSubPr>
            <m:ctrlPr>
              <w:rPr>
                <w:rFonts w:ascii="Cambria Math" w:hAnsi="Cambria Math"/>
                <w:i/>
                <w:szCs w:val="22"/>
                <w:lang w:eastAsia="en-US"/>
              </w:rPr>
            </m:ctrlPr>
          </m:sSubPr>
          <m:e>
            <m:r>
              <w:rPr>
                <w:rFonts w:ascii="Cambria Math" w:hAnsi="Cambria Math"/>
                <w:szCs w:val="22"/>
                <w:lang w:eastAsia="en-US"/>
              </w:rPr>
              <m:t>HCO2</m:t>
            </m:r>
          </m:e>
          <m:sub>
            <m:r>
              <w:rPr>
                <w:rFonts w:ascii="Cambria Math" w:hAnsi="Cambria Math"/>
                <w:szCs w:val="22"/>
                <w:lang w:eastAsia="en-US"/>
              </w:rPr>
              <m:t>i</m:t>
            </m:r>
          </m:sub>
        </m:sSub>
      </m:oMath>
      <w:r w:rsidRPr="00106A2A">
        <w:rPr>
          <w:rFonts w:eastAsia="Calibri"/>
          <w:szCs w:val="22"/>
          <w:lang w:eastAsia="en-US"/>
        </w:rPr>
        <w:t xml:space="preserve"> са емисиите на въглероден диоксид от изгаряне на горива от домакинствата на държавата членка i;</w:t>
      </w:r>
    </w:p>
    <w:p w:rsidR="00106A2A" w:rsidRPr="00106A2A" w:rsidRDefault="00106A2A" w:rsidP="00106A2A">
      <w:pPr>
        <w:widowControl/>
        <w:spacing w:before="240" w:after="120" w:line="360" w:lineRule="auto"/>
        <w:ind w:left="720"/>
        <w:jc w:val="both"/>
        <w:rPr>
          <w:rFonts w:eastAsia="Calibri"/>
          <w:szCs w:val="22"/>
          <w:lang w:eastAsia="en-US"/>
        </w:rPr>
      </w:pPr>
      <m:oMath>
        <m:sSub>
          <m:sSubPr>
            <m:ctrlPr>
              <w:rPr>
                <w:rFonts w:ascii="Cambria Math" w:hAnsi="Cambria Math"/>
                <w:i/>
                <w:szCs w:val="22"/>
                <w:lang w:eastAsia="en-US"/>
              </w:rPr>
            </m:ctrlPr>
          </m:sSubPr>
          <m:e>
            <m:r>
              <w:rPr>
                <w:rFonts w:ascii="Cambria Math" w:hAnsi="Cambria Math"/>
                <w:szCs w:val="22"/>
                <w:lang w:eastAsia="en-US"/>
              </w:rPr>
              <m:t>HCO2</m:t>
            </m:r>
          </m:e>
          <m:sub>
            <m:r>
              <w:rPr>
                <w:rFonts w:ascii="Cambria Math" w:hAnsi="Cambria Math"/>
                <w:szCs w:val="22"/>
                <w:lang w:eastAsia="en-US"/>
              </w:rPr>
              <m:t>EU</m:t>
            </m:r>
          </m:sub>
        </m:sSub>
      </m:oMath>
      <w:r w:rsidRPr="00106A2A">
        <w:rPr>
          <w:rFonts w:eastAsia="Calibri"/>
          <w:szCs w:val="22"/>
          <w:lang w:eastAsia="en-US"/>
        </w:rPr>
        <w:t xml:space="preserve"> е сумата от емисиите на въглероден диоксид от изгаряне на горива от домакинствата на държавите членки на ЕС-27;</w:t>
      </w:r>
    </w:p>
    <w:p w:rsidR="00106A2A" w:rsidRPr="00106A2A" w:rsidRDefault="00106A2A" w:rsidP="00106A2A">
      <w:pPr>
        <w:widowControl/>
        <w:spacing w:before="240" w:after="120" w:line="360" w:lineRule="auto"/>
        <w:ind w:left="720"/>
        <w:jc w:val="both"/>
        <w:rPr>
          <w:rFonts w:eastAsia="Calibri"/>
          <w:szCs w:val="22"/>
          <w:lang w:eastAsia="en-US"/>
        </w:rPr>
      </w:pPr>
      <m:oMath>
        <m:sSub>
          <m:sSubPr>
            <m:ctrlPr>
              <w:rPr>
                <w:rFonts w:ascii="Cambria Math" w:hAnsi="Cambria Math"/>
                <w:i/>
                <w:szCs w:val="22"/>
                <w:lang w:eastAsia="en-US"/>
              </w:rPr>
            </m:ctrlPr>
          </m:sSubPr>
          <m:e>
            <m:r>
              <w:rPr>
                <w:rFonts w:ascii="Cambria Math" w:hAnsi="Cambria Math"/>
                <w:szCs w:val="22"/>
                <w:lang w:eastAsia="en-US"/>
              </w:rPr>
              <m:t>arrears</m:t>
            </m:r>
          </m:e>
          <m:sub>
            <m:r>
              <w:rPr>
                <w:rFonts w:ascii="Cambria Math" w:hAnsi="Cambria Math"/>
                <w:szCs w:val="22"/>
                <w:lang w:eastAsia="en-US"/>
              </w:rPr>
              <m:t>i</m:t>
            </m:r>
          </m:sub>
        </m:sSub>
      </m:oMath>
      <w:r w:rsidRPr="00106A2A">
        <w:rPr>
          <w:rFonts w:eastAsia="Calibri"/>
          <w:szCs w:val="22"/>
          <w:lang w:eastAsia="en-US"/>
        </w:rPr>
        <w:t xml:space="preserve"> е процентът на домакинствата в държавата членка i, изложени на риск от бедност, които са с просрочени плащания за комунални услуги;</w:t>
      </w:r>
    </w:p>
    <w:p w:rsidR="00106A2A" w:rsidRPr="00106A2A" w:rsidRDefault="00106A2A" w:rsidP="00106A2A">
      <w:pPr>
        <w:widowControl/>
        <w:spacing w:before="240" w:after="120" w:line="360" w:lineRule="auto"/>
        <w:ind w:left="720"/>
        <w:jc w:val="both"/>
        <w:rPr>
          <w:rFonts w:eastAsia="Calibri"/>
          <w:szCs w:val="22"/>
          <w:lang w:eastAsia="en-US"/>
        </w:rPr>
      </w:pPr>
      <m:oMath>
        <m:sSub>
          <m:sSubPr>
            <m:ctrlPr>
              <w:rPr>
                <w:rFonts w:ascii="Cambria Math" w:hAnsi="Cambria Math"/>
                <w:i/>
                <w:szCs w:val="22"/>
                <w:lang w:eastAsia="en-US"/>
              </w:rPr>
            </m:ctrlPr>
          </m:sSubPr>
          <m:e>
            <m:r>
              <w:rPr>
                <w:rFonts w:ascii="Cambria Math" w:hAnsi="Cambria Math"/>
                <w:szCs w:val="22"/>
                <w:lang w:eastAsia="en-US"/>
              </w:rPr>
              <m:t>arrears</m:t>
            </m:r>
          </m:e>
          <m:sub>
            <m:r>
              <w:rPr>
                <w:rFonts w:ascii="Cambria Math" w:hAnsi="Cambria Math"/>
                <w:szCs w:val="22"/>
                <w:lang w:eastAsia="en-US"/>
              </w:rPr>
              <m:t>EU</m:t>
            </m:r>
          </m:sub>
        </m:sSub>
      </m:oMath>
      <w:r w:rsidRPr="00106A2A">
        <w:rPr>
          <w:rFonts w:eastAsia="Calibri"/>
          <w:szCs w:val="22"/>
          <w:lang w:eastAsia="en-US"/>
        </w:rPr>
        <w:t xml:space="preserve"> е процентът на домакинствата в ЕС-27, изложени на риск от бедност, които са с просрочени плащания за комунални услуги;</w:t>
      </w:r>
    </w:p>
    <w:p w:rsidR="00106A2A" w:rsidRPr="00106A2A" w:rsidRDefault="00106A2A" w:rsidP="00106A2A">
      <w:pPr>
        <w:widowControl/>
        <w:spacing w:before="240" w:after="120" w:line="360" w:lineRule="auto"/>
        <w:ind w:left="720"/>
        <w:jc w:val="both"/>
        <w:rPr>
          <w:rFonts w:eastAsia="Calibri"/>
          <w:szCs w:val="22"/>
          <w:lang w:eastAsia="en-US"/>
        </w:rPr>
      </w:pPr>
      <m:oMath>
        <m:sSubSup>
          <m:sSubSupPr>
            <m:ctrlPr>
              <w:rPr>
                <w:rFonts w:ascii="Cambria Math" w:eastAsia="Calibri" w:hAnsi="Cambria Math"/>
                <w:i/>
                <w:szCs w:val="22"/>
                <w:lang w:eastAsia="en-US"/>
              </w:rPr>
            </m:ctrlPr>
          </m:sSubSupPr>
          <m:e>
            <m:r>
              <w:rPr>
                <w:rFonts w:ascii="Cambria Math" w:eastAsia="Calibri" w:hAnsi="Cambria Math"/>
                <w:szCs w:val="22"/>
                <w:lang w:eastAsia="en-US"/>
              </w:rPr>
              <m:t>GNI</m:t>
            </m:r>
          </m:e>
          <m:sub>
            <m:r>
              <w:rPr>
                <w:rFonts w:ascii="Cambria Math" w:eastAsia="Calibri" w:hAnsi="Cambria Math"/>
                <w:szCs w:val="22"/>
                <w:lang w:eastAsia="en-US"/>
              </w:rPr>
              <m:t>i</m:t>
            </m:r>
          </m:sub>
          <m:sup>
            <m:r>
              <w:rPr>
                <w:rFonts w:ascii="Cambria Math" w:eastAsia="Calibri" w:hAnsi="Cambria Math"/>
                <w:szCs w:val="22"/>
                <w:lang w:eastAsia="en-US"/>
              </w:rPr>
              <m:t>PC</m:t>
            </m:r>
          </m:sup>
        </m:sSubSup>
      </m:oMath>
      <w:r w:rsidRPr="00106A2A">
        <w:rPr>
          <w:rFonts w:eastAsia="Calibri"/>
          <w:szCs w:val="22"/>
          <w:lang w:eastAsia="en-US"/>
        </w:rPr>
        <w:t xml:space="preserve"> е БНД на глава от населението на държавата членка i;</w:t>
      </w:r>
    </w:p>
    <w:p w:rsidR="00106A2A" w:rsidRPr="00106A2A" w:rsidRDefault="00106A2A" w:rsidP="00106A2A">
      <w:pPr>
        <w:widowControl/>
        <w:spacing w:before="240" w:after="120" w:line="360" w:lineRule="auto"/>
        <w:ind w:left="720"/>
        <w:jc w:val="both"/>
        <w:rPr>
          <w:rFonts w:eastAsia="Calibri"/>
          <w:szCs w:val="22"/>
          <w:lang w:eastAsia="en-US"/>
        </w:rPr>
      </w:pPr>
      <m:oMath>
        <m:sSubSup>
          <m:sSubSupPr>
            <m:ctrlPr>
              <w:rPr>
                <w:rFonts w:ascii="Cambria Math" w:eastAsia="Calibri" w:hAnsi="Cambria Math"/>
                <w:i/>
                <w:szCs w:val="22"/>
                <w:lang w:eastAsia="en-US"/>
              </w:rPr>
            </m:ctrlPr>
          </m:sSubSupPr>
          <m:e>
            <m:r>
              <w:rPr>
                <w:rFonts w:ascii="Cambria Math" w:eastAsia="Calibri" w:hAnsi="Cambria Math"/>
                <w:szCs w:val="22"/>
                <w:lang w:eastAsia="en-US"/>
              </w:rPr>
              <m:t>GNI</m:t>
            </m:r>
          </m:e>
          <m:sub>
            <m:r>
              <w:rPr>
                <w:rFonts w:ascii="Cambria Math" w:eastAsia="Calibri" w:hAnsi="Cambria Math"/>
                <w:szCs w:val="22"/>
                <w:lang w:eastAsia="en-US"/>
              </w:rPr>
              <m:t>EU</m:t>
            </m:r>
          </m:sub>
          <m:sup>
            <m:r>
              <w:rPr>
                <w:rFonts w:ascii="Cambria Math" w:eastAsia="Calibri" w:hAnsi="Cambria Math"/>
                <w:szCs w:val="22"/>
                <w:lang w:eastAsia="en-US"/>
              </w:rPr>
              <m:t>PC</m:t>
            </m:r>
          </m:sup>
        </m:sSubSup>
      </m:oMath>
      <w:r w:rsidRPr="00106A2A">
        <w:rPr>
          <w:rFonts w:eastAsia="Calibri"/>
          <w:szCs w:val="22"/>
          <w:lang w:eastAsia="en-US"/>
        </w:rPr>
        <w:t xml:space="preserve"> е БНД на глава от населението на ЕС-27.</w:t>
      </w:r>
    </w:p>
    <w:p w:rsidR="00106A2A" w:rsidRPr="00106A2A" w:rsidRDefault="00106A2A" w:rsidP="00106A2A">
      <w:pPr>
        <w:widowControl/>
        <w:spacing w:before="120" w:after="120" w:line="360" w:lineRule="auto"/>
        <w:rPr>
          <w:szCs w:val="22"/>
          <w:lang w:eastAsia="en-US"/>
        </w:rPr>
      </w:pPr>
      <w:r w:rsidRPr="00106A2A">
        <w:rPr>
          <w:rFonts w:eastAsia="Calibri"/>
          <w:szCs w:val="22"/>
          <w:lang w:eastAsia="en-US"/>
        </w:rPr>
        <w:br w:type="page"/>
      </w:r>
    </w:p>
    <w:p w:rsidR="00106A2A" w:rsidRPr="00106A2A" w:rsidRDefault="00106A2A" w:rsidP="00106A2A">
      <w:pPr>
        <w:widowControl/>
        <w:spacing w:before="240" w:after="120" w:line="360" w:lineRule="auto"/>
        <w:rPr>
          <w:lang w:eastAsia="en-US"/>
        </w:rPr>
      </w:pPr>
      <w:r w:rsidRPr="00106A2A">
        <w:rPr>
          <w:rFonts w:eastAsia="Calibri"/>
          <w:szCs w:val="22"/>
          <w:lang w:eastAsia="en-US"/>
        </w:rPr>
        <w:t xml:space="preserve">Стойностите на </w:t>
      </w:r>
      <w:r w:rsidRPr="00106A2A">
        <w:rPr>
          <w:rFonts w:eastAsia="Calibri"/>
          <w:i/>
          <w:iCs/>
          <w:szCs w:val="22"/>
          <w:lang w:eastAsia="en-US"/>
        </w:rPr>
        <w:t>β</w:t>
      </w:r>
      <w:r w:rsidRPr="00106A2A">
        <w:rPr>
          <w:rFonts w:eastAsia="Calibri"/>
          <w:i/>
          <w:iCs/>
          <w:szCs w:val="22"/>
          <w:vertAlign w:val="subscript"/>
          <w:lang w:eastAsia="en-US"/>
        </w:rPr>
        <w:t>i</w:t>
      </w:r>
      <w:r w:rsidRPr="00106A2A">
        <w:rPr>
          <w:rFonts w:eastAsia="Calibri"/>
          <w:szCs w:val="22"/>
          <w:lang w:eastAsia="en-US"/>
        </w:rPr>
        <w:t xml:space="preserve"> за държавите членки, които имат БНД на глава от населението под с</w:t>
      </w:r>
      <w:r w:rsidRPr="00106A2A">
        <w:rPr>
          <w:rFonts w:eastAsia="Calibri"/>
          <w:lang w:eastAsia="en-US"/>
        </w:rPr>
        <w:t xml:space="preserve">тойността му за ЕС-27 и за които </w:t>
      </w:r>
      <m:oMath>
        <m:f>
          <m:fPr>
            <m:ctrlPr>
              <w:rPr>
                <w:rFonts w:ascii="Cambria Math" w:hAnsi="Cambria Math"/>
                <w:i/>
                <w:lang w:eastAsia="en-US"/>
              </w:rPr>
            </m:ctrlPr>
          </m:fPr>
          <m:num>
            <m:sSub>
              <m:sSubPr>
                <m:ctrlPr>
                  <w:rPr>
                    <w:rFonts w:ascii="Cambria Math" w:hAnsi="Cambria Math"/>
                    <w:i/>
                    <w:lang w:eastAsia="en-US"/>
                  </w:rPr>
                </m:ctrlPr>
              </m:sSubPr>
              <m:e>
                <m:r>
                  <w:rPr>
                    <w:rFonts w:ascii="Cambria Math" w:hAnsi="Cambria Math"/>
                    <w:lang w:eastAsia="en-US"/>
                  </w:rPr>
                  <m:t>rural pop</m:t>
                </m:r>
              </m:e>
              <m:sub>
                <m:r>
                  <w:rPr>
                    <w:rFonts w:ascii="Cambria Math" w:hAnsi="Cambria Math"/>
                    <w:lang w:eastAsia="en-US"/>
                  </w:rPr>
                  <m:t>i</m:t>
                </m:r>
              </m:sub>
            </m:sSub>
          </m:num>
          <m:den>
            <m:sSub>
              <m:sSubPr>
                <m:ctrlPr>
                  <w:rPr>
                    <w:rFonts w:ascii="Cambria Math" w:hAnsi="Cambria Math"/>
                    <w:i/>
                    <w:lang w:eastAsia="en-US"/>
                  </w:rPr>
                </m:ctrlPr>
              </m:sSubPr>
              <m:e>
                <m:r>
                  <w:rPr>
                    <w:rFonts w:ascii="Cambria Math" w:hAnsi="Cambria Math"/>
                    <w:lang w:eastAsia="en-US"/>
                  </w:rPr>
                  <m:t>rural pop</m:t>
                </m:r>
              </m:e>
              <m:sub>
                <m:r>
                  <w:rPr>
                    <w:rFonts w:ascii="Cambria Math" w:hAnsi="Cambria Math"/>
                    <w:lang w:eastAsia="en-US"/>
                  </w:rPr>
                  <m:t>EU</m:t>
                </m:r>
              </m:sub>
            </m:sSub>
          </m:den>
        </m:f>
        <m:r>
          <w:rPr>
            <w:rFonts w:ascii="Cambria Math" w:hAnsi="Cambria Math"/>
            <w:lang w:eastAsia="en-US"/>
          </w:rPr>
          <m:t xml:space="preserve"> </m:t>
        </m:r>
      </m:oMath>
      <w:r w:rsidRPr="00106A2A">
        <w:rPr>
          <w:rFonts w:eastAsia="Calibri"/>
          <w:lang w:eastAsia="en-US"/>
        </w:rPr>
        <w:t xml:space="preserve">е минималният компонент, се коригират пропорционално, така че сумата на </w:t>
      </w:r>
      <w:r w:rsidRPr="00106A2A">
        <w:rPr>
          <w:rFonts w:eastAsia="Calibri"/>
          <w:i/>
          <w:iCs/>
          <w:lang w:eastAsia="en-US"/>
        </w:rPr>
        <w:t>β</w:t>
      </w:r>
      <w:r w:rsidRPr="00106A2A">
        <w:rPr>
          <w:rFonts w:eastAsia="Calibri"/>
          <w:i/>
          <w:iCs/>
          <w:vertAlign w:val="subscript"/>
          <w:lang w:eastAsia="en-US"/>
        </w:rPr>
        <w:t>i</w:t>
      </w:r>
      <w:r w:rsidRPr="00106A2A">
        <w:rPr>
          <w:rFonts w:eastAsia="Calibri"/>
          <w:lang w:eastAsia="en-US"/>
        </w:rPr>
        <w:t xml:space="preserve"> за всички държави членки да е равна на 100 %. Всички </w:t>
      </w:r>
      <w:r w:rsidRPr="00106A2A">
        <w:rPr>
          <w:rFonts w:eastAsia="Calibri"/>
          <w:i/>
          <w:iCs/>
          <w:lang w:eastAsia="en-US"/>
        </w:rPr>
        <w:t>λ</w:t>
      </w:r>
      <w:r w:rsidRPr="00106A2A">
        <w:rPr>
          <w:rFonts w:eastAsia="Calibri"/>
          <w:i/>
          <w:iCs/>
          <w:vertAlign w:val="subscript"/>
          <w:lang w:eastAsia="en-US"/>
        </w:rPr>
        <w:t>i</w:t>
      </w:r>
      <w:r w:rsidRPr="00106A2A">
        <w:rPr>
          <w:rFonts w:eastAsia="Calibri"/>
          <w:lang w:eastAsia="en-US"/>
        </w:rPr>
        <w:t xml:space="preserve"> се коригират пропорционално, така че тяхната сума да е равна на 100 %.</w:t>
      </w:r>
    </w:p>
    <w:p w:rsidR="00106A2A" w:rsidRPr="00106A2A" w:rsidRDefault="00106A2A" w:rsidP="00106A2A">
      <w:pPr>
        <w:widowControl/>
        <w:spacing w:before="120" w:after="120" w:line="360" w:lineRule="auto"/>
        <w:rPr>
          <w:rFonts w:eastAsia="Calibri"/>
          <w:b/>
          <w:i/>
          <w:iCs/>
          <w:lang w:eastAsia="en-US"/>
        </w:rPr>
      </w:pPr>
      <w:r w:rsidRPr="00106A2A">
        <w:rPr>
          <w:rFonts w:eastAsia="Calibri"/>
          <w:b/>
          <w:i/>
          <w:lang w:eastAsia="en-US"/>
        </w:rPr>
        <w:t>За всички държави членки α</w:t>
      </w:r>
      <w:r w:rsidRPr="00106A2A">
        <w:rPr>
          <w:rFonts w:eastAsia="Calibri"/>
          <w:b/>
          <w:i/>
          <w:vertAlign w:val="subscript"/>
          <w:lang w:eastAsia="en-US"/>
        </w:rPr>
        <w:t>i</w:t>
      </w:r>
      <w:r w:rsidRPr="00106A2A">
        <w:rPr>
          <w:rFonts w:eastAsia="Calibri"/>
          <w:b/>
          <w:i/>
          <w:lang w:eastAsia="en-US"/>
        </w:rPr>
        <w:t xml:space="preserve"> не може да бъде по-малко от 0,07 % от максималната сума, посочена в член 10, параграф 1. Стойностите на</w:t>
      </w:r>
      <w:r w:rsidRPr="00106A2A">
        <w:rPr>
          <w:rFonts w:eastAsia="Calibri"/>
          <w:lang w:eastAsia="en-US"/>
        </w:rPr>
        <w:t xml:space="preserve"> </w:t>
      </w:r>
      <m:oMath>
        <m:sSub>
          <m:sSubPr>
            <m:ctrlPr>
              <w:rPr>
                <w:rFonts w:ascii="Cambria Math" w:eastAsia="Calibri" w:hAnsi="Cambria Math"/>
                <w:b/>
                <w:i/>
                <w:iCs/>
                <w:lang w:eastAsia="en-US"/>
              </w:rPr>
            </m:ctrlPr>
          </m:sSubPr>
          <m:e>
            <m:r>
              <m:rPr>
                <m:sty m:val="bi"/>
              </m:rPr>
              <w:rPr>
                <w:rFonts w:ascii="Cambria Math" w:eastAsia="Calibri" w:hAnsi="Cambria Math"/>
                <w:lang w:eastAsia="en-US"/>
              </w:rPr>
              <m:t>α</m:t>
            </m:r>
          </m:e>
          <m:sub>
            <m:r>
              <m:rPr>
                <m:sty m:val="bi"/>
              </m:rPr>
              <w:rPr>
                <w:rFonts w:ascii="Cambria Math" w:eastAsia="Calibri" w:hAnsi="Cambria Math"/>
                <w:lang w:eastAsia="en-US"/>
              </w:rPr>
              <m:t>i</m:t>
            </m:r>
          </m:sub>
        </m:sSub>
      </m:oMath>
      <w:r w:rsidRPr="00106A2A">
        <w:rPr>
          <w:rFonts w:eastAsia="Calibri"/>
          <w:b/>
          <w:i/>
          <w:lang w:eastAsia="en-US"/>
        </w:rPr>
        <w:t xml:space="preserve"> за всички държави членки с </w:t>
      </w:r>
      <m:oMath>
        <m:sSub>
          <m:sSubPr>
            <m:ctrlPr>
              <w:rPr>
                <w:rFonts w:ascii="Cambria Math" w:eastAsia="Calibri" w:hAnsi="Cambria Math"/>
                <w:b/>
                <w:i/>
                <w:iCs/>
                <w:lang w:eastAsia="en-US"/>
              </w:rPr>
            </m:ctrlPr>
          </m:sSubPr>
          <m:e>
            <m:r>
              <m:rPr>
                <m:sty m:val="bi"/>
              </m:rPr>
              <w:rPr>
                <w:rFonts w:ascii="Cambria Math" w:eastAsia="Calibri" w:hAnsi="Cambria Math"/>
                <w:lang w:eastAsia="en-US"/>
              </w:rPr>
              <m:t>α</m:t>
            </m:r>
          </m:e>
          <m:sub>
            <m:r>
              <m:rPr>
                <m:sty m:val="bi"/>
              </m:rPr>
              <w:rPr>
                <w:rFonts w:ascii="Cambria Math" w:eastAsia="Calibri" w:hAnsi="Cambria Math"/>
                <w:lang w:eastAsia="en-US"/>
              </w:rPr>
              <m:t>i</m:t>
            </m:r>
          </m:sub>
        </m:sSub>
      </m:oMath>
      <w:r w:rsidRPr="00106A2A">
        <w:rPr>
          <w:rFonts w:eastAsia="Calibri"/>
          <w:b/>
          <w:i/>
          <w:lang w:eastAsia="en-US"/>
        </w:rPr>
        <w:t xml:space="preserve"> над 0,07 % се коригират пропорционално, така че сумата от всички</w:t>
      </w:r>
      <w:r w:rsidRPr="00106A2A">
        <w:rPr>
          <w:rFonts w:eastAsia="Calibri"/>
          <w:lang w:eastAsia="en-US"/>
        </w:rPr>
        <w:t xml:space="preserve"> </w:t>
      </w:r>
      <m:oMath>
        <m:sSub>
          <m:sSubPr>
            <m:ctrlPr>
              <w:rPr>
                <w:rFonts w:ascii="Cambria Math" w:eastAsia="Calibri" w:hAnsi="Cambria Math"/>
                <w:b/>
                <w:i/>
                <w:iCs/>
                <w:lang w:eastAsia="en-US"/>
              </w:rPr>
            </m:ctrlPr>
          </m:sSubPr>
          <m:e>
            <m:r>
              <m:rPr>
                <m:sty m:val="bi"/>
              </m:rPr>
              <w:rPr>
                <w:rFonts w:ascii="Cambria Math" w:eastAsia="Calibri" w:hAnsi="Cambria Math"/>
                <w:lang w:eastAsia="en-US"/>
              </w:rPr>
              <m:t>α</m:t>
            </m:r>
          </m:e>
          <m:sub>
            <m:r>
              <m:rPr>
                <m:sty m:val="bi"/>
              </m:rPr>
              <w:rPr>
                <w:rFonts w:ascii="Cambria Math" w:eastAsia="Calibri" w:hAnsi="Cambria Math"/>
                <w:lang w:eastAsia="en-US"/>
              </w:rPr>
              <m:t>i</m:t>
            </m:r>
          </m:sub>
        </m:sSub>
      </m:oMath>
      <w:r w:rsidRPr="00106A2A">
        <w:rPr>
          <w:rFonts w:eastAsia="Calibri"/>
          <w:b/>
          <w:i/>
          <w:lang w:eastAsia="en-US"/>
        </w:rPr>
        <w:t xml:space="preserve"> да е равна на 100 %.</w:t>
      </w:r>
    </w:p>
    <w:p w:rsidR="00106A2A" w:rsidRPr="00106A2A" w:rsidRDefault="00106A2A" w:rsidP="00106A2A">
      <w:pPr>
        <w:widowControl/>
        <w:spacing w:before="120" w:line="360" w:lineRule="auto"/>
        <w:rPr>
          <w:rFonts w:eastAsia="Calibri"/>
          <w:lang w:eastAsia="en-US"/>
        </w:rPr>
      </w:pPr>
      <w:r w:rsidRPr="00106A2A">
        <w:rPr>
          <w:rFonts w:eastAsia="Calibri"/>
          <w:lang w:eastAsia="en-US"/>
        </w:rPr>
        <w:t xml:space="preserve">За държавите членки с БНД на глава от населението под 90% от стойността за EU-27, </w:t>
      </w:r>
      <m:oMath>
        <m:sSub>
          <m:sSubPr>
            <m:ctrlPr>
              <w:rPr>
                <w:rFonts w:ascii="Cambria Math" w:eastAsia="Calibri" w:hAnsi="Cambria Math"/>
                <w:i/>
                <w:lang w:eastAsia="en-US"/>
              </w:rPr>
            </m:ctrlPr>
          </m:sSubPr>
          <m:e>
            <m:r>
              <w:rPr>
                <w:rFonts w:ascii="Cambria Math" w:eastAsia="Calibri" w:hAnsi="Cambria Math"/>
                <w:lang w:eastAsia="en-US"/>
              </w:rPr>
              <m:t>α</m:t>
            </m:r>
          </m:e>
          <m:sub>
            <m:r>
              <w:rPr>
                <w:rFonts w:ascii="Cambria Math" w:eastAsia="Calibri" w:hAnsi="Cambria Math"/>
                <w:lang w:eastAsia="en-US"/>
              </w:rPr>
              <m:t>i</m:t>
            </m:r>
          </m:sub>
        </m:sSub>
      </m:oMath>
      <w:r w:rsidRPr="00106A2A">
        <w:rPr>
          <w:rFonts w:eastAsia="Calibri"/>
          <w:lang w:eastAsia="en-US"/>
        </w:rPr>
        <w:t xml:space="preserve"> не може да бъде по-ниско от дела на референтните емисии по член 4, параграф 2 от Регламент (ЕС) 2018/842 за </w:t>
      </w:r>
      <w:r w:rsidRPr="00106A2A">
        <w:rPr>
          <w:rFonts w:eastAsia="Calibri"/>
          <w:b/>
          <w:i/>
          <w:lang w:eastAsia="en-US"/>
        </w:rPr>
        <w:t>източниците на емисии 1A3b, 1A4a и 1A4b, както са установени в Насоките на МКИК относно националните инвентаризации на парниковите газове от 2006 г.</w:t>
      </w:r>
      <w:r w:rsidRPr="00106A2A">
        <w:rPr>
          <w:rFonts w:eastAsia="Calibri"/>
          <w:b/>
          <w:lang w:eastAsia="en-US"/>
        </w:rPr>
        <w:t xml:space="preserve"> </w:t>
      </w:r>
      <w:r w:rsidRPr="00106A2A">
        <w:rPr>
          <w:rFonts w:eastAsia="Calibri"/>
          <w:lang w:eastAsia="en-US"/>
        </w:rPr>
        <w:t>за средната стойност за периода 2016—2018 г.</w:t>
      </w:r>
      <w:r w:rsidRPr="00106A2A">
        <w:rPr>
          <w:rFonts w:eastAsia="Calibri"/>
          <w:b/>
          <w:i/>
          <w:lang w:eastAsia="en-US"/>
        </w:rPr>
        <w:t>, цялостно преразгледани съгласно член 4, параграф 3 от посочения регламент</w:t>
      </w:r>
      <w:r w:rsidRPr="00106A2A">
        <w:rPr>
          <w:rFonts w:eastAsia="Calibri"/>
          <w:lang w:eastAsia="en-US"/>
        </w:rPr>
        <w:t xml:space="preserve">. Стойностите на </w:t>
      </w:r>
      <m:oMath>
        <m:sSub>
          <m:sSubPr>
            <m:ctrlPr>
              <w:rPr>
                <w:rFonts w:ascii="Cambria Math" w:eastAsia="Calibri" w:hAnsi="Cambria Math"/>
                <w:lang w:eastAsia="en-US"/>
              </w:rPr>
            </m:ctrlPr>
          </m:sSubPr>
          <m:e>
            <m:r>
              <w:rPr>
                <w:rFonts w:ascii="Cambria Math" w:eastAsia="Calibri" w:hAnsi="Cambria Math"/>
                <w:lang w:eastAsia="en-US"/>
              </w:rPr>
              <m:t>α</m:t>
            </m:r>
          </m:e>
          <m:sub>
            <m:r>
              <w:rPr>
                <w:rFonts w:ascii="Cambria Math" w:eastAsia="Calibri" w:hAnsi="Cambria Math"/>
                <w:lang w:eastAsia="en-US"/>
              </w:rPr>
              <m:t>i</m:t>
            </m:r>
          </m:sub>
        </m:sSub>
      </m:oMath>
      <w:r w:rsidRPr="00106A2A">
        <w:rPr>
          <w:rFonts w:eastAsia="Calibri"/>
          <w:lang w:eastAsia="en-US"/>
        </w:rPr>
        <w:t xml:space="preserve"> за държавите членки с БНД на глава от населението над средната стойност за ЕС-27 се коригират пропорционално, така че сумата от всички </w:t>
      </w:r>
      <m:oMath>
        <m:sSub>
          <m:sSubPr>
            <m:ctrlPr>
              <w:rPr>
                <w:rFonts w:ascii="Cambria Math" w:eastAsia="Calibri" w:hAnsi="Cambria Math"/>
                <w:i/>
                <w:lang w:eastAsia="en-US"/>
              </w:rPr>
            </m:ctrlPr>
          </m:sSubPr>
          <m:e>
            <m:r>
              <w:rPr>
                <w:rFonts w:ascii="Cambria Math" w:eastAsia="Calibri" w:hAnsi="Cambria Math"/>
                <w:lang w:eastAsia="en-US"/>
              </w:rPr>
              <m:t>α</m:t>
            </m:r>
          </m:e>
          <m:sub>
            <m:r>
              <w:rPr>
                <w:rFonts w:ascii="Cambria Math" w:eastAsia="Calibri" w:hAnsi="Cambria Math"/>
                <w:lang w:eastAsia="en-US"/>
              </w:rPr>
              <m:t>i</m:t>
            </m:r>
          </m:sub>
        </m:sSub>
      </m:oMath>
      <w:r w:rsidRPr="00106A2A">
        <w:rPr>
          <w:rFonts w:eastAsia="Calibri"/>
          <w:lang w:eastAsia="en-US"/>
        </w:rPr>
        <w:t xml:space="preserve"> да е равна на 100%.</w:t>
      </w:r>
    </w:p>
    <w:p w:rsidR="00106A2A" w:rsidRPr="00106A2A" w:rsidRDefault="00106A2A" w:rsidP="00106A2A">
      <w:pPr>
        <w:widowControl/>
        <w:spacing w:before="120" w:line="360" w:lineRule="auto"/>
        <w:rPr>
          <w:rFonts w:eastAsia="Calibri"/>
          <w:lang w:eastAsia="en-US"/>
        </w:rPr>
      </w:pPr>
    </w:p>
    <w:p w:rsidR="00106A2A" w:rsidRPr="00106A2A" w:rsidRDefault="00106A2A" w:rsidP="00106A2A">
      <w:pPr>
        <w:widowControl/>
        <w:spacing w:before="120" w:line="360" w:lineRule="auto"/>
        <w:rPr>
          <w:rFonts w:eastAsia="Calibri"/>
          <w:lang w:eastAsia="en-US"/>
        </w:rPr>
        <w:sectPr w:rsidR="00106A2A" w:rsidRPr="00106A2A" w:rsidSect="00056D1A">
          <w:headerReference w:type="even" r:id="rId15"/>
          <w:footerReference w:type="even" r:id="rId16"/>
          <w:headerReference w:type="first" r:id="rId17"/>
          <w:footerReference w:type="first" r:id="rId18"/>
          <w:footnotePr>
            <w:numRestart w:val="eachPage"/>
          </w:footnotePr>
          <w:pgSz w:w="11906" w:h="16838"/>
          <w:pgMar w:top="1134" w:right="1134" w:bottom="1134" w:left="1134" w:header="567" w:footer="567" w:gutter="0"/>
          <w:cols w:space="708"/>
          <w:docGrid w:linePitch="360"/>
        </w:sectPr>
      </w:pPr>
    </w:p>
    <w:p w:rsidR="00106A2A" w:rsidRPr="00106A2A" w:rsidRDefault="00106A2A" w:rsidP="00106A2A">
      <w:pPr>
        <w:widowControl/>
        <w:spacing w:before="120" w:line="360" w:lineRule="auto"/>
        <w:rPr>
          <w:rFonts w:eastAsia="Calibri"/>
          <w:lang w:eastAsia="en-US"/>
        </w:rPr>
      </w:pPr>
    </w:p>
    <w:p w:rsidR="00106A2A" w:rsidRPr="00106A2A" w:rsidRDefault="00106A2A" w:rsidP="00106A2A">
      <w:pPr>
        <w:widowControl/>
        <w:spacing w:before="120" w:line="360" w:lineRule="auto"/>
        <w:jc w:val="center"/>
        <w:rPr>
          <w:rFonts w:eastAsia="Calibri"/>
          <w:b/>
          <w:caps/>
          <w:u w:val="single"/>
          <w:lang w:eastAsia="en-US"/>
        </w:rPr>
      </w:pPr>
      <w:r w:rsidRPr="00106A2A">
        <w:rPr>
          <w:rFonts w:eastAsia="Calibri"/>
          <w:b/>
          <w:caps/>
          <w:u w:val="single"/>
          <w:lang w:eastAsia="en-US"/>
        </w:rPr>
        <w:t>ПРИЛОЖЕНИЕ II</w:t>
      </w:r>
    </w:p>
    <w:p w:rsidR="00106A2A" w:rsidRPr="00106A2A" w:rsidRDefault="00106A2A" w:rsidP="00106A2A">
      <w:pPr>
        <w:widowControl/>
        <w:spacing w:before="240" w:after="120" w:line="360" w:lineRule="auto"/>
        <w:jc w:val="center"/>
        <w:rPr>
          <w:rFonts w:eastAsia="Calibri"/>
          <w:b/>
          <w:lang w:eastAsia="en-US"/>
        </w:rPr>
      </w:pPr>
      <w:r w:rsidRPr="00106A2A">
        <w:rPr>
          <w:rFonts w:eastAsia="Calibri"/>
          <w:b/>
          <w:lang w:eastAsia="en-US"/>
        </w:rPr>
        <w:t>Максимален размер на разпределените финансови средства за всяка държава членка по линия на Фонда съгласно членове 10 и 14</w:t>
      </w:r>
    </w:p>
    <w:p w:rsidR="00106A2A" w:rsidRPr="00106A2A" w:rsidRDefault="00106A2A" w:rsidP="00106A2A">
      <w:pPr>
        <w:widowControl/>
        <w:spacing w:before="120" w:after="120" w:line="360" w:lineRule="auto"/>
        <w:rPr>
          <w:rFonts w:eastAsia="Calibri"/>
          <w:lang w:eastAsia="en-US"/>
        </w:rPr>
      </w:pPr>
      <w:r w:rsidRPr="00106A2A">
        <w:rPr>
          <w:rFonts w:eastAsia="Calibri"/>
          <w:lang w:eastAsia="en-US"/>
        </w:rPr>
        <w:t xml:space="preserve">Когато посочената в приложение I методика се приложи за сумите по член 10, параграф 1, </w:t>
      </w:r>
      <w:r w:rsidRPr="00106A2A">
        <w:rPr>
          <w:rFonts w:eastAsia="Calibri"/>
          <w:b/>
          <w:lang w:eastAsia="en-US"/>
        </w:rPr>
        <w:t>▌</w:t>
      </w:r>
      <w:r w:rsidRPr="00106A2A">
        <w:rPr>
          <w:rFonts w:eastAsia="Calibri"/>
          <w:lang w:eastAsia="en-US"/>
        </w:rPr>
        <w:t>в резултат се получава посоченият по-долу дял и максимален размер на разпределените финансови средства за всяка държава членка.</w:t>
      </w:r>
    </w:p>
    <w:p w:rsidR="00106A2A" w:rsidRPr="00106A2A" w:rsidRDefault="00106A2A" w:rsidP="00106A2A">
      <w:pPr>
        <w:widowControl/>
        <w:spacing w:before="120" w:after="120" w:line="360" w:lineRule="auto"/>
        <w:rPr>
          <w:rFonts w:eastAsia="Calibri"/>
          <w:lang w:eastAsia="en-US"/>
        </w:rPr>
      </w:pPr>
      <w:r w:rsidRPr="00106A2A">
        <w:rPr>
          <w:rFonts w:eastAsia="Calibri"/>
          <w:lang w:eastAsia="en-US"/>
        </w:rPr>
        <w:t>Всички суми по член 10, параграф 3 се покриват пропорционално в рамките на максималния размер на разпределените финансови средства за всяка държава членка.</w:t>
      </w:r>
    </w:p>
    <w:tbl>
      <w:tblPr>
        <w:tblStyle w:val="TableGrid1"/>
        <w:tblW w:w="5000" w:type="pct"/>
        <w:tblLook w:val="04A0" w:firstRow="1" w:lastRow="0" w:firstColumn="1" w:lastColumn="0" w:noHBand="0" w:noVBand="1"/>
      </w:tblPr>
      <w:tblGrid>
        <w:gridCol w:w="1966"/>
        <w:gridCol w:w="1514"/>
        <w:gridCol w:w="3073"/>
        <w:gridCol w:w="3075"/>
      </w:tblGrid>
      <w:tr w:rsidR="00106A2A" w:rsidRPr="00106A2A" w:rsidTr="006919B6">
        <w:trPr>
          <w:trHeight w:val="340"/>
          <w:tblHeader/>
        </w:trPr>
        <w:tc>
          <w:tcPr>
            <w:tcW w:w="5000" w:type="pct"/>
            <w:gridSpan w:val="4"/>
            <w:vAlign w:val="center"/>
          </w:tcPr>
          <w:p w:rsidR="00106A2A" w:rsidRPr="00106A2A" w:rsidRDefault="00106A2A" w:rsidP="00106A2A">
            <w:pPr>
              <w:widowControl/>
              <w:spacing w:line="360" w:lineRule="auto"/>
              <w:jc w:val="center"/>
              <w:rPr>
                <w:b/>
              </w:rPr>
            </w:pPr>
            <w:r w:rsidRPr="00106A2A">
              <w:rPr>
                <w:b/>
              </w:rPr>
              <w:t>Максимален размер на разпределените финансови средства по държави членки</w:t>
            </w:r>
          </w:p>
        </w:tc>
      </w:tr>
      <w:tr w:rsidR="00106A2A" w:rsidRPr="00106A2A" w:rsidTr="006919B6">
        <w:trPr>
          <w:trHeight w:val="340"/>
          <w:tblHeader/>
        </w:trPr>
        <w:tc>
          <w:tcPr>
            <w:tcW w:w="1021" w:type="pct"/>
            <w:vMerge w:val="restart"/>
            <w:vAlign w:val="center"/>
          </w:tcPr>
          <w:p w:rsidR="00106A2A" w:rsidRPr="00106A2A" w:rsidRDefault="00106A2A" w:rsidP="00106A2A">
            <w:pPr>
              <w:widowControl/>
              <w:spacing w:line="360" w:lineRule="auto"/>
              <w:jc w:val="center"/>
              <w:rPr>
                <w:b/>
              </w:rPr>
            </w:pPr>
            <w:r w:rsidRPr="00106A2A">
              <w:rPr>
                <w:b/>
              </w:rPr>
              <w:t>Държава членка</w:t>
            </w:r>
          </w:p>
        </w:tc>
        <w:tc>
          <w:tcPr>
            <w:tcW w:w="786" w:type="pct"/>
            <w:vMerge w:val="restart"/>
            <w:vAlign w:val="center"/>
          </w:tcPr>
          <w:p w:rsidR="00106A2A" w:rsidRPr="00106A2A" w:rsidRDefault="00106A2A" w:rsidP="00106A2A">
            <w:pPr>
              <w:widowControl/>
              <w:spacing w:line="360" w:lineRule="auto"/>
              <w:jc w:val="center"/>
              <w:rPr>
                <w:b/>
              </w:rPr>
            </w:pPr>
            <w:r w:rsidRPr="00106A2A">
              <w:rPr>
                <w:b/>
              </w:rPr>
              <w:t>Дял от общия размер в %</w:t>
            </w:r>
          </w:p>
        </w:tc>
        <w:tc>
          <w:tcPr>
            <w:tcW w:w="3193" w:type="pct"/>
            <w:gridSpan w:val="2"/>
            <w:vAlign w:val="center"/>
          </w:tcPr>
          <w:p w:rsidR="00106A2A" w:rsidRPr="00106A2A" w:rsidRDefault="00106A2A" w:rsidP="00106A2A">
            <w:pPr>
              <w:widowControl/>
              <w:spacing w:line="360" w:lineRule="auto"/>
              <w:jc w:val="center"/>
              <w:rPr>
                <w:b/>
                <w:i/>
                <w:iCs/>
              </w:rPr>
            </w:pPr>
            <w:r w:rsidRPr="00106A2A">
              <w:rPr>
                <w:b/>
                <w:i/>
              </w:rPr>
              <w:t>ОБЩО</w:t>
            </w:r>
          </w:p>
          <w:p w:rsidR="00106A2A" w:rsidRPr="00106A2A" w:rsidRDefault="00106A2A" w:rsidP="00106A2A">
            <w:pPr>
              <w:widowControl/>
              <w:spacing w:line="360" w:lineRule="auto"/>
              <w:jc w:val="center"/>
              <w:rPr>
                <w:b/>
                <w:i/>
                <w:iCs/>
              </w:rPr>
            </w:pPr>
            <w:r w:rsidRPr="00106A2A">
              <w:rPr>
                <w:b/>
                <w:i/>
              </w:rPr>
              <w:t>2026—2032 г.</w:t>
            </w:r>
          </w:p>
          <w:p w:rsidR="00106A2A" w:rsidRPr="00106A2A" w:rsidRDefault="00106A2A" w:rsidP="00106A2A">
            <w:pPr>
              <w:widowControl/>
              <w:spacing w:line="360" w:lineRule="auto"/>
              <w:jc w:val="center"/>
              <w:rPr>
                <w:b/>
              </w:rPr>
            </w:pPr>
            <w:r w:rsidRPr="00106A2A">
              <w:rPr>
                <w:b/>
                <w:i/>
              </w:rPr>
              <w:t>(в евро по текущи цени)</w:t>
            </w:r>
          </w:p>
        </w:tc>
      </w:tr>
      <w:tr w:rsidR="00106A2A" w:rsidRPr="00106A2A" w:rsidTr="006919B6">
        <w:trPr>
          <w:trHeight w:val="340"/>
          <w:tblHeader/>
        </w:trPr>
        <w:tc>
          <w:tcPr>
            <w:tcW w:w="1021" w:type="pct"/>
            <w:vMerge/>
            <w:vAlign w:val="center"/>
          </w:tcPr>
          <w:p w:rsidR="00106A2A" w:rsidRPr="00106A2A" w:rsidRDefault="00106A2A" w:rsidP="00106A2A">
            <w:pPr>
              <w:widowControl/>
              <w:spacing w:line="360" w:lineRule="auto"/>
              <w:jc w:val="center"/>
              <w:rPr>
                <w:b/>
              </w:rPr>
            </w:pPr>
          </w:p>
        </w:tc>
        <w:tc>
          <w:tcPr>
            <w:tcW w:w="786" w:type="pct"/>
            <w:vMerge/>
            <w:vAlign w:val="center"/>
          </w:tcPr>
          <w:p w:rsidR="00106A2A" w:rsidRPr="00106A2A" w:rsidRDefault="00106A2A" w:rsidP="00106A2A">
            <w:pPr>
              <w:widowControl/>
              <w:spacing w:line="360" w:lineRule="auto"/>
              <w:jc w:val="center"/>
              <w:rPr>
                <w:b/>
              </w:rPr>
            </w:pPr>
          </w:p>
        </w:tc>
        <w:tc>
          <w:tcPr>
            <w:tcW w:w="1596" w:type="pct"/>
            <w:vAlign w:val="center"/>
          </w:tcPr>
          <w:p w:rsidR="00106A2A" w:rsidRPr="00106A2A" w:rsidRDefault="00106A2A" w:rsidP="00106A2A">
            <w:pPr>
              <w:widowControl/>
              <w:spacing w:line="360" w:lineRule="auto"/>
              <w:jc w:val="right"/>
              <w:rPr>
                <w:b/>
                <w:i/>
                <w:iCs/>
              </w:rPr>
            </w:pPr>
            <w:r w:rsidRPr="00106A2A">
              <w:rPr>
                <w:b/>
                <w:i/>
              </w:rPr>
              <w:t>Съгласно член 10, параграф 1, първа и втора алинея</w:t>
            </w:r>
          </w:p>
        </w:tc>
        <w:tc>
          <w:tcPr>
            <w:tcW w:w="1597" w:type="pct"/>
          </w:tcPr>
          <w:p w:rsidR="00106A2A" w:rsidRPr="00106A2A" w:rsidRDefault="00106A2A" w:rsidP="00106A2A">
            <w:pPr>
              <w:widowControl/>
              <w:spacing w:line="360" w:lineRule="auto"/>
              <w:jc w:val="right"/>
              <w:rPr>
                <w:b/>
                <w:i/>
                <w:iCs/>
              </w:rPr>
            </w:pPr>
            <w:r w:rsidRPr="00106A2A">
              <w:rPr>
                <w:b/>
                <w:i/>
              </w:rPr>
              <w:t>Съгласно член 10, параграф 1, трета алинея</w:t>
            </w:r>
          </w:p>
        </w:tc>
      </w:tr>
      <w:tr w:rsidR="00106A2A" w:rsidRPr="00106A2A" w:rsidTr="006919B6">
        <w:trPr>
          <w:trHeight w:val="340"/>
          <w:tblHeader/>
        </w:trPr>
        <w:tc>
          <w:tcPr>
            <w:tcW w:w="1021" w:type="pct"/>
          </w:tcPr>
          <w:p w:rsidR="00106A2A" w:rsidRPr="00106A2A" w:rsidRDefault="00106A2A" w:rsidP="00106A2A">
            <w:pPr>
              <w:widowControl/>
              <w:spacing w:line="360" w:lineRule="auto"/>
              <w:jc w:val="center"/>
            </w:pPr>
            <w:r w:rsidRPr="00106A2A">
              <w:t>Белгия</w:t>
            </w:r>
          </w:p>
        </w:tc>
        <w:tc>
          <w:tcPr>
            <w:tcW w:w="786" w:type="pct"/>
            <w:shd w:val="clear" w:color="auto" w:fill="auto"/>
          </w:tcPr>
          <w:p w:rsidR="00106A2A" w:rsidRPr="00106A2A" w:rsidRDefault="00106A2A" w:rsidP="00106A2A">
            <w:pPr>
              <w:widowControl/>
              <w:spacing w:line="360" w:lineRule="auto"/>
              <w:jc w:val="right"/>
              <w:rPr>
                <w:b/>
                <w:bCs/>
                <w:i/>
                <w:iCs/>
              </w:rPr>
            </w:pPr>
            <w:r w:rsidRPr="00106A2A">
              <w:rPr>
                <w:b/>
              </w:rPr>
              <w:t xml:space="preserve"> </w:t>
            </w:r>
            <w:r w:rsidRPr="00106A2A">
              <w:rPr>
                <w:b/>
                <w:i/>
              </w:rPr>
              <w:t xml:space="preserve">2,55 </w:t>
            </w:r>
          </w:p>
        </w:tc>
        <w:tc>
          <w:tcPr>
            <w:tcW w:w="1596" w:type="pct"/>
            <w:shd w:val="clear" w:color="auto" w:fill="auto"/>
          </w:tcPr>
          <w:p w:rsidR="00106A2A" w:rsidRPr="00106A2A" w:rsidRDefault="00106A2A" w:rsidP="00106A2A">
            <w:pPr>
              <w:widowControl/>
              <w:spacing w:line="360" w:lineRule="auto"/>
              <w:jc w:val="right"/>
              <w:rPr>
                <w:b/>
                <w:bCs/>
                <w:i/>
                <w:iCs/>
              </w:rPr>
            </w:pPr>
            <w:r w:rsidRPr="00106A2A">
              <w:rPr>
                <w:b/>
                <w:i/>
              </w:rPr>
              <w:t xml:space="preserve"> 1 659 606 425</w:t>
            </w:r>
          </w:p>
        </w:tc>
        <w:tc>
          <w:tcPr>
            <w:tcW w:w="1597" w:type="pct"/>
          </w:tcPr>
          <w:p w:rsidR="00106A2A" w:rsidRPr="00106A2A" w:rsidRDefault="00106A2A" w:rsidP="00106A2A">
            <w:pPr>
              <w:widowControl/>
              <w:spacing w:line="360" w:lineRule="auto"/>
              <w:jc w:val="right"/>
              <w:rPr>
                <w:b/>
                <w:bCs/>
                <w:i/>
                <w:iCs/>
              </w:rPr>
            </w:pPr>
            <w:r w:rsidRPr="00106A2A">
              <w:rPr>
                <w:b/>
                <w:i/>
              </w:rPr>
              <w:t xml:space="preserve"> 1 394 069 397 </w:t>
            </w:r>
          </w:p>
        </w:tc>
      </w:tr>
      <w:tr w:rsidR="00106A2A" w:rsidRPr="00106A2A" w:rsidTr="006919B6">
        <w:trPr>
          <w:trHeight w:val="340"/>
          <w:tblHeader/>
        </w:trPr>
        <w:tc>
          <w:tcPr>
            <w:tcW w:w="1021" w:type="pct"/>
          </w:tcPr>
          <w:p w:rsidR="00106A2A" w:rsidRPr="00106A2A" w:rsidRDefault="00106A2A" w:rsidP="00106A2A">
            <w:pPr>
              <w:widowControl/>
              <w:spacing w:line="360" w:lineRule="auto"/>
              <w:jc w:val="center"/>
            </w:pPr>
            <w:r w:rsidRPr="00106A2A">
              <w:t>България</w:t>
            </w:r>
          </w:p>
        </w:tc>
        <w:tc>
          <w:tcPr>
            <w:tcW w:w="786" w:type="pct"/>
            <w:shd w:val="clear" w:color="auto" w:fill="auto"/>
          </w:tcPr>
          <w:p w:rsidR="00106A2A" w:rsidRPr="00106A2A" w:rsidRDefault="00106A2A" w:rsidP="00106A2A">
            <w:pPr>
              <w:widowControl/>
              <w:spacing w:line="360" w:lineRule="auto"/>
              <w:jc w:val="right"/>
            </w:pPr>
            <w:r w:rsidRPr="00106A2A">
              <w:t xml:space="preserve"> 3,85 </w:t>
            </w:r>
          </w:p>
        </w:tc>
        <w:tc>
          <w:tcPr>
            <w:tcW w:w="1596" w:type="pct"/>
            <w:shd w:val="clear" w:color="auto" w:fill="auto"/>
          </w:tcPr>
          <w:p w:rsidR="00106A2A" w:rsidRPr="00106A2A" w:rsidRDefault="00106A2A" w:rsidP="00106A2A">
            <w:pPr>
              <w:widowControl/>
              <w:spacing w:line="360" w:lineRule="auto"/>
              <w:jc w:val="right"/>
              <w:rPr>
                <w:b/>
                <w:bCs/>
                <w:i/>
                <w:iCs/>
              </w:rPr>
            </w:pPr>
            <w:r w:rsidRPr="00106A2A">
              <w:rPr>
                <w:b/>
                <w:i/>
              </w:rPr>
              <w:t xml:space="preserve"> 2 499 490 282 </w:t>
            </w:r>
          </w:p>
        </w:tc>
        <w:tc>
          <w:tcPr>
            <w:tcW w:w="1597" w:type="pct"/>
          </w:tcPr>
          <w:p w:rsidR="00106A2A" w:rsidRPr="00106A2A" w:rsidRDefault="00106A2A" w:rsidP="00106A2A">
            <w:pPr>
              <w:widowControl/>
              <w:spacing w:line="360" w:lineRule="auto"/>
              <w:jc w:val="right"/>
              <w:rPr>
                <w:b/>
                <w:bCs/>
                <w:i/>
                <w:iCs/>
              </w:rPr>
            </w:pPr>
            <w:r w:rsidRPr="00106A2A">
              <w:rPr>
                <w:b/>
                <w:i/>
              </w:rPr>
              <w:t xml:space="preserve"> 2 099 571 836</w:t>
            </w:r>
          </w:p>
        </w:tc>
      </w:tr>
      <w:tr w:rsidR="00106A2A" w:rsidRPr="00106A2A" w:rsidTr="006919B6">
        <w:trPr>
          <w:trHeight w:val="340"/>
          <w:tblHeader/>
        </w:trPr>
        <w:tc>
          <w:tcPr>
            <w:tcW w:w="1021" w:type="pct"/>
          </w:tcPr>
          <w:p w:rsidR="00106A2A" w:rsidRPr="00106A2A" w:rsidRDefault="00106A2A" w:rsidP="00106A2A">
            <w:pPr>
              <w:widowControl/>
              <w:spacing w:line="360" w:lineRule="auto"/>
              <w:jc w:val="center"/>
            </w:pPr>
            <w:r w:rsidRPr="00106A2A">
              <w:t>Чехия</w:t>
            </w:r>
          </w:p>
        </w:tc>
        <w:tc>
          <w:tcPr>
            <w:tcW w:w="786" w:type="pct"/>
            <w:shd w:val="clear" w:color="auto" w:fill="auto"/>
          </w:tcPr>
          <w:p w:rsidR="00106A2A" w:rsidRPr="00106A2A" w:rsidRDefault="00106A2A" w:rsidP="00106A2A">
            <w:pPr>
              <w:widowControl/>
              <w:spacing w:line="360" w:lineRule="auto"/>
              <w:jc w:val="right"/>
            </w:pPr>
            <w:r w:rsidRPr="00106A2A">
              <w:t xml:space="preserve"> 2,40 </w:t>
            </w:r>
          </w:p>
        </w:tc>
        <w:tc>
          <w:tcPr>
            <w:tcW w:w="1596" w:type="pct"/>
            <w:shd w:val="clear" w:color="auto" w:fill="auto"/>
          </w:tcPr>
          <w:p w:rsidR="00106A2A" w:rsidRPr="00106A2A" w:rsidRDefault="00106A2A" w:rsidP="00106A2A">
            <w:pPr>
              <w:widowControl/>
              <w:spacing w:line="360" w:lineRule="auto"/>
              <w:jc w:val="right"/>
              <w:rPr>
                <w:b/>
                <w:bCs/>
                <w:i/>
                <w:iCs/>
              </w:rPr>
            </w:pPr>
            <w:r w:rsidRPr="00106A2A">
              <w:rPr>
                <w:b/>
                <w:i/>
              </w:rPr>
              <w:t xml:space="preserve"> 1 562 617 717 </w:t>
            </w:r>
          </w:p>
        </w:tc>
        <w:tc>
          <w:tcPr>
            <w:tcW w:w="1597" w:type="pct"/>
          </w:tcPr>
          <w:p w:rsidR="00106A2A" w:rsidRPr="00106A2A" w:rsidRDefault="00106A2A" w:rsidP="00106A2A">
            <w:pPr>
              <w:widowControl/>
              <w:spacing w:line="360" w:lineRule="auto"/>
              <w:jc w:val="right"/>
              <w:rPr>
                <w:b/>
                <w:bCs/>
                <w:i/>
                <w:iCs/>
              </w:rPr>
            </w:pPr>
            <w:r w:rsidRPr="00106A2A">
              <w:rPr>
                <w:b/>
                <w:i/>
              </w:rPr>
              <w:t xml:space="preserve"> 1 312 598 882 </w:t>
            </w:r>
          </w:p>
        </w:tc>
      </w:tr>
      <w:tr w:rsidR="00106A2A" w:rsidRPr="00106A2A" w:rsidTr="006919B6">
        <w:trPr>
          <w:trHeight w:val="340"/>
          <w:tblHeader/>
        </w:trPr>
        <w:tc>
          <w:tcPr>
            <w:tcW w:w="1021" w:type="pct"/>
          </w:tcPr>
          <w:p w:rsidR="00106A2A" w:rsidRPr="00106A2A" w:rsidRDefault="00106A2A" w:rsidP="00106A2A">
            <w:pPr>
              <w:widowControl/>
              <w:spacing w:line="360" w:lineRule="auto"/>
              <w:jc w:val="center"/>
            </w:pPr>
            <w:r w:rsidRPr="00106A2A">
              <w:t>Дания</w:t>
            </w:r>
          </w:p>
        </w:tc>
        <w:tc>
          <w:tcPr>
            <w:tcW w:w="786" w:type="pct"/>
            <w:shd w:val="clear" w:color="auto" w:fill="auto"/>
          </w:tcPr>
          <w:p w:rsidR="00106A2A" w:rsidRPr="00106A2A" w:rsidRDefault="00106A2A" w:rsidP="00106A2A">
            <w:pPr>
              <w:widowControl/>
              <w:spacing w:line="360" w:lineRule="auto"/>
              <w:jc w:val="right"/>
            </w:pPr>
            <w:r w:rsidRPr="00106A2A">
              <w:t xml:space="preserve"> 0,50 </w:t>
            </w:r>
          </w:p>
        </w:tc>
        <w:tc>
          <w:tcPr>
            <w:tcW w:w="1596" w:type="pct"/>
            <w:shd w:val="clear" w:color="auto" w:fill="auto"/>
          </w:tcPr>
          <w:p w:rsidR="00106A2A" w:rsidRPr="00106A2A" w:rsidRDefault="00106A2A" w:rsidP="00106A2A">
            <w:pPr>
              <w:widowControl/>
              <w:spacing w:line="360" w:lineRule="auto"/>
              <w:jc w:val="right"/>
              <w:rPr>
                <w:b/>
                <w:bCs/>
                <w:i/>
                <w:iCs/>
              </w:rPr>
            </w:pPr>
            <w:r w:rsidRPr="00106A2A">
              <w:rPr>
                <w:b/>
                <w:i/>
              </w:rPr>
              <w:t xml:space="preserve"> 324 991 338 </w:t>
            </w:r>
          </w:p>
        </w:tc>
        <w:tc>
          <w:tcPr>
            <w:tcW w:w="1597" w:type="pct"/>
          </w:tcPr>
          <w:p w:rsidR="00106A2A" w:rsidRPr="00106A2A" w:rsidRDefault="00106A2A" w:rsidP="00106A2A">
            <w:pPr>
              <w:widowControl/>
              <w:spacing w:line="360" w:lineRule="auto"/>
              <w:jc w:val="right"/>
              <w:rPr>
                <w:b/>
                <w:bCs/>
                <w:i/>
                <w:iCs/>
              </w:rPr>
            </w:pPr>
            <w:r w:rsidRPr="00106A2A">
              <w:rPr>
                <w:b/>
                <w:i/>
              </w:rPr>
              <w:t xml:space="preserve"> 272 992 724 </w:t>
            </w:r>
          </w:p>
        </w:tc>
      </w:tr>
      <w:tr w:rsidR="00106A2A" w:rsidRPr="00106A2A" w:rsidTr="006919B6">
        <w:trPr>
          <w:trHeight w:val="340"/>
          <w:tblHeader/>
        </w:trPr>
        <w:tc>
          <w:tcPr>
            <w:tcW w:w="1021" w:type="pct"/>
          </w:tcPr>
          <w:p w:rsidR="00106A2A" w:rsidRPr="00106A2A" w:rsidRDefault="00106A2A" w:rsidP="00106A2A">
            <w:pPr>
              <w:widowControl/>
              <w:spacing w:line="360" w:lineRule="auto"/>
              <w:jc w:val="center"/>
            </w:pPr>
            <w:r w:rsidRPr="00106A2A">
              <w:t>Германия</w:t>
            </w:r>
          </w:p>
        </w:tc>
        <w:tc>
          <w:tcPr>
            <w:tcW w:w="786" w:type="pct"/>
            <w:shd w:val="clear" w:color="auto" w:fill="auto"/>
          </w:tcPr>
          <w:p w:rsidR="00106A2A" w:rsidRPr="00106A2A" w:rsidRDefault="00106A2A" w:rsidP="00106A2A">
            <w:pPr>
              <w:widowControl/>
              <w:spacing w:line="360" w:lineRule="auto"/>
              <w:jc w:val="right"/>
              <w:rPr>
                <w:b/>
                <w:bCs/>
                <w:i/>
                <w:iCs/>
              </w:rPr>
            </w:pPr>
            <w:r w:rsidRPr="00106A2A">
              <w:rPr>
                <w:i/>
              </w:rPr>
              <w:t xml:space="preserve"> </w:t>
            </w:r>
            <w:r w:rsidRPr="00106A2A">
              <w:rPr>
                <w:b/>
                <w:i/>
              </w:rPr>
              <w:t xml:space="preserve">8,18 </w:t>
            </w:r>
          </w:p>
        </w:tc>
        <w:tc>
          <w:tcPr>
            <w:tcW w:w="1596" w:type="pct"/>
            <w:shd w:val="clear" w:color="auto" w:fill="auto"/>
          </w:tcPr>
          <w:p w:rsidR="00106A2A" w:rsidRPr="00106A2A" w:rsidRDefault="00106A2A" w:rsidP="00106A2A">
            <w:pPr>
              <w:widowControl/>
              <w:spacing w:line="360" w:lineRule="auto"/>
              <w:jc w:val="right"/>
              <w:rPr>
                <w:b/>
                <w:bCs/>
                <w:i/>
                <w:iCs/>
              </w:rPr>
            </w:pPr>
            <w:r w:rsidRPr="00106A2A">
              <w:rPr>
                <w:b/>
                <w:i/>
              </w:rPr>
              <w:t xml:space="preserve"> 5 317 778 511 </w:t>
            </w:r>
          </w:p>
        </w:tc>
        <w:tc>
          <w:tcPr>
            <w:tcW w:w="1597" w:type="pct"/>
          </w:tcPr>
          <w:p w:rsidR="00106A2A" w:rsidRPr="00106A2A" w:rsidRDefault="00106A2A" w:rsidP="00106A2A">
            <w:pPr>
              <w:widowControl/>
              <w:spacing w:line="360" w:lineRule="auto"/>
              <w:jc w:val="right"/>
              <w:rPr>
                <w:b/>
                <w:bCs/>
                <w:i/>
                <w:iCs/>
              </w:rPr>
            </w:pPr>
            <w:r w:rsidRPr="00106A2A">
              <w:rPr>
                <w:b/>
                <w:i/>
              </w:rPr>
              <w:t xml:space="preserve"> 4 466 933 949 </w:t>
            </w:r>
          </w:p>
        </w:tc>
      </w:tr>
      <w:tr w:rsidR="00106A2A" w:rsidRPr="00106A2A" w:rsidTr="006919B6">
        <w:trPr>
          <w:trHeight w:val="340"/>
          <w:tblHeader/>
        </w:trPr>
        <w:tc>
          <w:tcPr>
            <w:tcW w:w="1021" w:type="pct"/>
          </w:tcPr>
          <w:p w:rsidR="00106A2A" w:rsidRPr="00106A2A" w:rsidRDefault="00106A2A" w:rsidP="00106A2A">
            <w:pPr>
              <w:widowControl/>
              <w:spacing w:line="360" w:lineRule="auto"/>
              <w:jc w:val="center"/>
            </w:pPr>
            <w:r w:rsidRPr="00106A2A">
              <w:t>Естония</w:t>
            </w:r>
          </w:p>
        </w:tc>
        <w:tc>
          <w:tcPr>
            <w:tcW w:w="786" w:type="pct"/>
            <w:shd w:val="clear" w:color="auto" w:fill="auto"/>
          </w:tcPr>
          <w:p w:rsidR="00106A2A" w:rsidRPr="00106A2A" w:rsidRDefault="00106A2A" w:rsidP="00106A2A">
            <w:pPr>
              <w:widowControl/>
              <w:spacing w:line="360" w:lineRule="auto"/>
              <w:jc w:val="right"/>
            </w:pPr>
            <w:r w:rsidRPr="00106A2A">
              <w:t xml:space="preserve"> 0,29 </w:t>
            </w:r>
          </w:p>
        </w:tc>
        <w:tc>
          <w:tcPr>
            <w:tcW w:w="1596" w:type="pct"/>
            <w:shd w:val="clear" w:color="auto" w:fill="auto"/>
          </w:tcPr>
          <w:p w:rsidR="00106A2A" w:rsidRPr="00106A2A" w:rsidRDefault="00106A2A" w:rsidP="00106A2A">
            <w:pPr>
              <w:widowControl/>
              <w:spacing w:line="360" w:lineRule="auto"/>
              <w:jc w:val="right"/>
              <w:rPr>
                <w:b/>
                <w:bCs/>
                <w:i/>
                <w:iCs/>
              </w:rPr>
            </w:pPr>
            <w:r w:rsidRPr="00106A2A">
              <w:rPr>
                <w:b/>
                <w:i/>
              </w:rPr>
              <w:t xml:space="preserve"> 186 244 570 </w:t>
            </w:r>
          </w:p>
        </w:tc>
        <w:tc>
          <w:tcPr>
            <w:tcW w:w="1597" w:type="pct"/>
          </w:tcPr>
          <w:p w:rsidR="00106A2A" w:rsidRPr="00106A2A" w:rsidRDefault="00106A2A" w:rsidP="00106A2A">
            <w:pPr>
              <w:widowControl/>
              <w:spacing w:line="360" w:lineRule="auto"/>
              <w:jc w:val="right"/>
              <w:rPr>
                <w:b/>
                <w:bCs/>
                <w:i/>
                <w:iCs/>
              </w:rPr>
            </w:pPr>
            <w:r w:rsidRPr="00106A2A">
              <w:rPr>
                <w:b/>
                <w:i/>
              </w:rPr>
              <w:t xml:space="preserve"> 156 445 439 </w:t>
            </w:r>
          </w:p>
        </w:tc>
      </w:tr>
      <w:tr w:rsidR="00106A2A" w:rsidRPr="00106A2A" w:rsidTr="006919B6">
        <w:trPr>
          <w:trHeight w:val="340"/>
          <w:tblHeader/>
        </w:trPr>
        <w:tc>
          <w:tcPr>
            <w:tcW w:w="1021" w:type="pct"/>
          </w:tcPr>
          <w:p w:rsidR="00106A2A" w:rsidRPr="00106A2A" w:rsidRDefault="00106A2A" w:rsidP="00106A2A">
            <w:pPr>
              <w:widowControl/>
              <w:spacing w:line="360" w:lineRule="auto"/>
              <w:jc w:val="center"/>
            </w:pPr>
            <w:r w:rsidRPr="00106A2A">
              <w:t>Ирландия</w:t>
            </w:r>
          </w:p>
        </w:tc>
        <w:tc>
          <w:tcPr>
            <w:tcW w:w="786" w:type="pct"/>
            <w:shd w:val="clear" w:color="auto" w:fill="auto"/>
          </w:tcPr>
          <w:p w:rsidR="00106A2A" w:rsidRPr="00106A2A" w:rsidRDefault="00106A2A" w:rsidP="00106A2A">
            <w:pPr>
              <w:widowControl/>
              <w:spacing w:line="360" w:lineRule="auto"/>
              <w:jc w:val="right"/>
            </w:pPr>
            <w:r w:rsidRPr="00106A2A">
              <w:t xml:space="preserve"> 1,02 </w:t>
            </w:r>
          </w:p>
        </w:tc>
        <w:tc>
          <w:tcPr>
            <w:tcW w:w="1596" w:type="pct"/>
            <w:shd w:val="clear" w:color="auto" w:fill="auto"/>
          </w:tcPr>
          <w:p w:rsidR="00106A2A" w:rsidRPr="00106A2A" w:rsidRDefault="00106A2A" w:rsidP="00106A2A">
            <w:pPr>
              <w:widowControl/>
              <w:spacing w:line="360" w:lineRule="auto"/>
              <w:jc w:val="right"/>
              <w:rPr>
                <w:b/>
                <w:bCs/>
                <w:i/>
                <w:iCs/>
              </w:rPr>
            </w:pPr>
            <w:r w:rsidRPr="00106A2A">
              <w:rPr>
                <w:b/>
                <w:i/>
              </w:rPr>
              <w:t xml:space="preserve"> 663 390 868 </w:t>
            </w:r>
          </w:p>
        </w:tc>
        <w:tc>
          <w:tcPr>
            <w:tcW w:w="1597" w:type="pct"/>
          </w:tcPr>
          <w:p w:rsidR="00106A2A" w:rsidRPr="00106A2A" w:rsidRDefault="00106A2A" w:rsidP="00106A2A">
            <w:pPr>
              <w:widowControl/>
              <w:spacing w:line="360" w:lineRule="auto"/>
              <w:jc w:val="right"/>
              <w:rPr>
                <w:b/>
                <w:bCs/>
                <w:i/>
                <w:iCs/>
              </w:rPr>
            </w:pPr>
            <w:r w:rsidRPr="00106A2A">
              <w:rPr>
                <w:b/>
                <w:i/>
              </w:rPr>
              <w:t xml:space="preserve"> 557 248 329 </w:t>
            </w:r>
          </w:p>
        </w:tc>
      </w:tr>
      <w:tr w:rsidR="00106A2A" w:rsidRPr="00106A2A" w:rsidTr="006919B6">
        <w:trPr>
          <w:trHeight w:val="340"/>
          <w:tblHeader/>
        </w:trPr>
        <w:tc>
          <w:tcPr>
            <w:tcW w:w="1021" w:type="pct"/>
          </w:tcPr>
          <w:p w:rsidR="00106A2A" w:rsidRPr="00106A2A" w:rsidRDefault="00106A2A" w:rsidP="00106A2A">
            <w:pPr>
              <w:widowControl/>
              <w:spacing w:line="360" w:lineRule="auto"/>
              <w:jc w:val="center"/>
            </w:pPr>
            <w:r w:rsidRPr="00106A2A">
              <w:t>Гърция</w:t>
            </w:r>
          </w:p>
        </w:tc>
        <w:tc>
          <w:tcPr>
            <w:tcW w:w="786" w:type="pct"/>
            <w:shd w:val="clear" w:color="auto" w:fill="auto"/>
          </w:tcPr>
          <w:p w:rsidR="00106A2A" w:rsidRPr="00106A2A" w:rsidRDefault="00106A2A" w:rsidP="00106A2A">
            <w:pPr>
              <w:widowControl/>
              <w:spacing w:line="360" w:lineRule="auto"/>
              <w:jc w:val="right"/>
            </w:pPr>
            <w:r w:rsidRPr="00106A2A">
              <w:t xml:space="preserve"> 5,52 </w:t>
            </w:r>
          </w:p>
        </w:tc>
        <w:tc>
          <w:tcPr>
            <w:tcW w:w="1596" w:type="pct"/>
            <w:shd w:val="clear" w:color="auto" w:fill="auto"/>
          </w:tcPr>
          <w:p w:rsidR="00106A2A" w:rsidRPr="00106A2A" w:rsidRDefault="00106A2A" w:rsidP="00106A2A">
            <w:pPr>
              <w:widowControl/>
              <w:spacing w:line="360" w:lineRule="auto"/>
              <w:jc w:val="right"/>
              <w:rPr>
                <w:b/>
                <w:bCs/>
                <w:i/>
                <w:iCs/>
              </w:rPr>
            </w:pPr>
            <w:r w:rsidRPr="00106A2A">
              <w:rPr>
                <w:b/>
                <w:i/>
              </w:rPr>
              <w:t xml:space="preserve"> 3 586 843 608 </w:t>
            </w:r>
          </w:p>
        </w:tc>
        <w:tc>
          <w:tcPr>
            <w:tcW w:w="1597" w:type="pct"/>
          </w:tcPr>
          <w:p w:rsidR="00106A2A" w:rsidRPr="00106A2A" w:rsidRDefault="00106A2A" w:rsidP="00106A2A">
            <w:pPr>
              <w:widowControl/>
              <w:spacing w:line="360" w:lineRule="auto"/>
              <w:jc w:val="right"/>
              <w:rPr>
                <w:b/>
                <w:bCs/>
                <w:i/>
                <w:iCs/>
              </w:rPr>
            </w:pPr>
            <w:r w:rsidRPr="00106A2A">
              <w:rPr>
                <w:b/>
                <w:i/>
              </w:rPr>
              <w:t xml:space="preserve"> 3 012 948 631 </w:t>
            </w:r>
          </w:p>
        </w:tc>
      </w:tr>
      <w:tr w:rsidR="00106A2A" w:rsidRPr="00106A2A" w:rsidTr="006919B6">
        <w:trPr>
          <w:trHeight w:val="340"/>
          <w:tblHeader/>
        </w:trPr>
        <w:tc>
          <w:tcPr>
            <w:tcW w:w="1021" w:type="pct"/>
          </w:tcPr>
          <w:p w:rsidR="00106A2A" w:rsidRPr="00106A2A" w:rsidRDefault="00106A2A" w:rsidP="00106A2A">
            <w:pPr>
              <w:widowControl/>
              <w:spacing w:line="360" w:lineRule="auto"/>
              <w:jc w:val="center"/>
            </w:pPr>
            <w:r w:rsidRPr="00106A2A">
              <w:t>Испания</w:t>
            </w:r>
          </w:p>
        </w:tc>
        <w:tc>
          <w:tcPr>
            <w:tcW w:w="786" w:type="pct"/>
            <w:shd w:val="clear" w:color="auto" w:fill="auto"/>
          </w:tcPr>
          <w:p w:rsidR="00106A2A" w:rsidRPr="00106A2A" w:rsidRDefault="00106A2A" w:rsidP="00106A2A">
            <w:pPr>
              <w:widowControl/>
              <w:spacing w:line="360" w:lineRule="auto"/>
              <w:jc w:val="right"/>
              <w:rPr>
                <w:b/>
                <w:bCs/>
                <w:i/>
                <w:iCs/>
              </w:rPr>
            </w:pPr>
            <w:r w:rsidRPr="00106A2A">
              <w:rPr>
                <w:i/>
              </w:rPr>
              <w:t xml:space="preserve"> </w:t>
            </w:r>
            <w:r w:rsidRPr="00106A2A">
              <w:rPr>
                <w:b/>
                <w:i/>
              </w:rPr>
              <w:t xml:space="preserve">10,52 </w:t>
            </w:r>
          </w:p>
        </w:tc>
        <w:tc>
          <w:tcPr>
            <w:tcW w:w="1596" w:type="pct"/>
            <w:shd w:val="clear" w:color="auto" w:fill="auto"/>
          </w:tcPr>
          <w:p w:rsidR="00106A2A" w:rsidRPr="00106A2A" w:rsidRDefault="00106A2A" w:rsidP="00106A2A">
            <w:pPr>
              <w:widowControl/>
              <w:spacing w:line="360" w:lineRule="auto"/>
              <w:jc w:val="right"/>
              <w:rPr>
                <w:b/>
                <w:bCs/>
                <w:i/>
                <w:iCs/>
              </w:rPr>
            </w:pPr>
            <w:r w:rsidRPr="00106A2A">
              <w:rPr>
                <w:b/>
                <w:i/>
              </w:rPr>
              <w:t xml:space="preserve"> 6 837 784 631 </w:t>
            </w:r>
          </w:p>
        </w:tc>
        <w:tc>
          <w:tcPr>
            <w:tcW w:w="1597" w:type="pct"/>
          </w:tcPr>
          <w:p w:rsidR="00106A2A" w:rsidRPr="00106A2A" w:rsidRDefault="00106A2A" w:rsidP="00106A2A">
            <w:pPr>
              <w:widowControl/>
              <w:spacing w:line="360" w:lineRule="auto"/>
              <w:jc w:val="right"/>
              <w:rPr>
                <w:b/>
                <w:bCs/>
                <w:i/>
                <w:iCs/>
              </w:rPr>
            </w:pPr>
            <w:r w:rsidRPr="00106A2A">
              <w:rPr>
                <w:b/>
                <w:i/>
              </w:rPr>
              <w:t xml:space="preserve"> 5 743 739 090 </w:t>
            </w:r>
          </w:p>
        </w:tc>
      </w:tr>
      <w:tr w:rsidR="00106A2A" w:rsidRPr="00106A2A" w:rsidTr="006919B6">
        <w:trPr>
          <w:trHeight w:val="340"/>
          <w:tblHeader/>
        </w:trPr>
        <w:tc>
          <w:tcPr>
            <w:tcW w:w="1021" w:type="pct"/>
          </w:tcPr>
          <w:p w:rsidR="00106A2A" w:rsidRPr="00106A2A" w:rsidRDefault="00106A2A" w:rsidP="00106A2A">
            <w:pPr>
              <w:widowControl/>
              <w:spacing w:line="360" w:lineRule="auto"/>
              <w:jc w:val="center"/>
            </w:pPr>
            <w:r w:rsidRPr="00106A2A">
              <w:t xml:space="preserve">Франция </w:t>
            </w:r>
          </w:p>
        </w:tc>
        <w:tc>
          <w:tcPr>
            <w:tcW w:w="786" w:type="pct"/>
            <w:shd w:val="clear" w:color="auto" w:fill="auto"/>
          </w:tcPr>
          <w:p w:rsidR="00106A2A" w:rsidRPr="00106A2A" w:rsidRDefault="00106A2A" w:rsidP="00106A2A">
            <w:pPr>
              <w:widowControl/>
              <w:spacing w:line="360" w:lineRule="auto"/>
              <w:jc w:val="right"/>
              <w:rPr>
                <w:b/>
                <w:bCs/>
                <w:i/>
                <w:iCs/>
              </w:rPr>
            </w:pPr>
            <w:r w:rsidRPr="00106A2A">
              <w:t xml:space="preserve"> </w:t>
            </w:r>
            <w:r w:rsidRPr="00106A2A">
              <w:rPr>
                <w:b/>
                <w:i/>
              </w:rPr>
              <w:t xml:space="preserve">11,19 </w:t>
            </w:r>
          </w:p>
        </w:tc>
        <w:tc>
          <w:tcPr>
            <w:tcW w:w="1596" w:type="pct"/>
            <w:shd w:val="clear" w:color="auto" w:fill="auto"/>
          </w:tcPr>
          <w:p w:rsidR="00106A2A" w:rsidRPr="00106A2A" w:rsidRDefault="00106A2A" w:rsidP="00106A2A">
            <w:pPr>
              <w:widowControl/>
              <w:spacing w:line="360" w:lineRule="auto"/>
              <w:jc w:val="right"/>
              <w:rPr>
                <w:b/>
                <w:bCs/>
                <w:i/>
                <w:iCs/>
              </w:rPr>
            </w:pPr>
            <w:r w:rsidRPr="00106A2A">
              <w:rPr>
                <w:b/>
                <w:i/>
              </w:rPr>
              <w:t xml:space="preserve"> 7 276 283 944 </w:t>
            </w:r>
          </w:p>
        </w:tc>
        <w:tc>
          <w:tcPr>
            <w:tcW w:w="1597" w:type="pct"/>
          </w:tcPr>
          <w:p w:rsidR="00106A2A" w:rsidRPr="00106A2A" w:rsidRDefault="00106A2A" w:rsidP="00106A2A">
            <w:pPr>
              <w:widowControl/>
              <w:spacing w:line="360" w:lineRule="auto"/>
              <w:jc w:val="right"/>
              <w:rPr>
                <w:b/>
                <w:bCs/>
                <w:i/>
                <w:iCs/>
              </w:rPr>
            </w:pPr>
            <w:r w:rsidRPr="00106A2A">
              <w:rPr>
                <w:b/>
                <w:i/>
              </w:rPr>
              <w:t xml:space="preserve"> 6 112 078 513 </w:t>
            </w:r>
          </w:p>
        </w:tc>
      </w:tr>
      <w:tr w:rsidR="00106A2A" w:rsidRPr="00106A2A" w:rsidTr="006919B6">
        <w:trPr>
          <w:trHeight w:val="340"/>
          <w:tblHeader/>
        </w:trPr>
        <w:tc>
          <w:tcPr>
            <w:tcW w:w="1021" w:type="pct"/>
          </w:tcPr>
          <w:p w:rsidR="00106A2A" w:rsidRPr="00106A2A" w:rsidRDefault="00106A2A" w:rsidP="00106A2A">
            <w:pPr>
              <w:widowControl/>
              <w:spacing w:line="360" w:lineRule="auto"/>
              <w:jc w:val="center"/>
            </w:pPr>
            <w:r w:rsidRPr="00106A2A">
              <w:t>Хърватия</w:t>
            </w:r>
          </w:p>
        </w:tc>
        <w:tc>
          <w:tcPr>
            <w:tcW w:w="786" w:type="pct"/>
            <w:shd w:val="clear" w:color="auto" w:fill="auto"/>
          </w:tcPr>
          <w:p w:rsidR="00106A2A" w:rsidRPr="00106A2A" w:rsidRDefault="00106A2A" w:rsidP="00106A2A">
            <w:pPr>
              <w:widowControl/>
              <w:spacing w:line="360" w:lineRule="auto"/>
              <w:jc w:val="right"/>
            </w:pPr>
            <w:r w:rsidRPr="00106A2A">
              <w:t xml:space="preserve"> 1,94 </w:t>
            </w:r>
          </w:p>
        </w:tc>
        <w:tc>
          <w:tcPr>
            <w:tcW w:w="1596" w:type="pct"/>
            <w:shd w:val="clear" w:color="auto" w:fill="auto"/>
          </w:tcPr>
          <w:p w:rsidR="00106A2A" w:rsidRPr="00106A2A" w:rsidRDefault="00106A2A" w:rsidP="00106A2A">
            <w:pPr>
              <w:widowControl/>
              <w:spacing w:line="360" w:lineRule="auto"/>
              <w:jc w:val="right"/>
              <w:rPr>
                <w:b/>
                <w:bCs/>
                <w:i/>
                <w:iCs/>
              </w:rPr>
            </w:pPr>
            <w:r w:rsidRPr="00106A2A">
              <w:rPr>
                <w:b/>
                <w:i/>
              </w:rPr>
              <w:t xml:space="preserve"> 1 263 071 899 </w:t>
            </w:r>
          </w:p>
        </w:tc>
        <w:tc>
          <w:tcPr>
            <w:tcW w:w="1597" w:type="pct"/>
          </w:tcPr>
          <w:p w:rsidR="00106A2A" w:rsidRPr="00106A2A" w:rsidRDefault="00106A2A" w:rsidP="00106A2A">
            <w:pPr>
              <w:widowControl/>
              <w:spacing w:line="360" w:lineRule="auto"/>
              <w:jc w:val="right"/>
              <w:rPr>
                <w:b/>
                <w:bCs/>
                <w:i/>
                <w:iCs/>
              </w:rPr>
            </w:pPr>
            <w:r w:rsidRPr="00106A2A">
              <w:rPr>
                <w:b/>
                <w:i/>
              </w:rPr>
              <w:t xml:space="preserve"> 1 060 980 395 </w:t>
            </w:r>
          </w:p>
        </w:tc>
      </w:tr>
      <w:tr w:rsidR="00106A2A" w:rsidRPr="00106A2A" w:rsidTr="006919B6">
        <w:trPr>
          <w:trHeight w:val="340"/>
          <w:tblHeader/>
        </w:trPr>
        <w:tc>
          <w:tcPr>
            <w:tcW w:w="1021" w:type="pct"/>
          </w:tcPr>
          <w:p w:rsidR="00106A2A" w:rsidRPr="00106A2A" w:rsidRDefault="00106A2A" w:rsidP="00106A2A">
            <w:pPr>
              <w:widowControl/>
              <w:spacing w:line="360" w:lineRule="auto"/>
              <w:jc w:val="center"/>
            </w:pPr>
            <w:r w:rsidRPr="00106A2A">
              <w:t xml:space="preserve">Италия </w:t>
            </w:r>
          </w:p>
        </w:tc>
        <w:tc>
          <w:tcPr>
            <w:tcW w:w="786" w:type="pct"/>
            <w:shd w:val="clear" w:color="auto" w:fill="auto"/>
          </w:tcPr>
          <w:p w:rsidR="00106A2A" w:rsidRPr="00106A2A" w:rsidRDefault="00106A2A" w:rsidP="00106A2A">
            <w:pPr>
              <w:widowControl/>
              <w:spacing w:line="360" w:lineRule="auto"/>
              <w:jc w:val="right"/>
            </w:pPr>
            <w:r w:rsidRPr="00106A2A">
              <w:t xml:space="preserve"> 10,81 </w:t>
            </w:r>
          </w:p>
        </w:tc>
        <w:tc>
          <w:tcPr>
            <w:tcW w:w="1596" w:type="pct"/>
            <w:shd w:val="clear" w:color="auto" w:fill="auto"/>
          </w:tcPr>
          <w:p w:rsidR="00106A2A" w:rsidRPr="00106A2A" w:rsidRDefault="00106A2A" w:rsidP="00106A2A">
            <w:pPr>
              <w:widowControl/>
              <w:spacing w:line="360" w:lineRule="auto"/>
              <w:jc w:val="right"/>
              <w:rPr>
                <w:b/>
                <w:bCs/>
                <w:i/>
                <w:iCs/>
              </w:rPr>
            </w:pPr>
            <w:r w:rsidRPr="00106A2A">
              <w:rPr>
                <w:b/>
                <w:i/>
              </w:rPr>
              <w:t xml:space="preserve"> 7 023 970 924 </w:t>
            </w:r>
          </w:p>
        </w:tc>
        <w:tc>
          <w:tcPr>
            <w:tcW w:w="1597" w:type="pct"/>
          </w:tcPr>
          <w:p w:rsidR="00106A2A" w:rsidRPr="00106A2A" w:rsidRDefault="00106A2A" w:rsidP="00106A2A">
            <w:pPr>
              <w:widowControl/>
              <w:spacing w:line="360" w:lineRule="auto"/>
              <w:jc w:val="right"/>
              <w:rPr>
                <w:b/>
                <w:bCs/>
                <w:i/>
                <w:iCs/>
              </w:rPr>
            </w:pPr>
            <w:r w:rsidRPr="00106A2A">
              <w:rPr>
                <w:b/>
                <w:i/>
              </w:rPr>
              <w:t xml:space="preserve"> 5 900 135 577 </w:t>
            </w:r>
          </w:p>
        </w:tc>
      </w:tr>
      <w:tr w:rsidR="00106A2A" w:rsidRPr="00106A2A" w:rsidTr="006919B6">
        <w:trPr>
          <w:trHeight w:val="340"/>
          <w:tblHeader/>
        </w:trPr>
        <w:tc>
          <w:tcPr>
            <w:tcW w:w="1021" w:type="pct"/>
          </w:tcPr>
          <w:p w:rsidR="00106A2A" w:rsidRPr="00106A2A" w:rsidRDefault="00106A2A" w:rsidP="00106A2A">
            <w:pPr>
              <w:widowControl/>
              <w:spacing w:line="360" w:lineRule="auto"/>
              <w:jc w:val="center"/>
            </w:pPr>
            <w:r w:rsidRPr="00106A2A">
              <w:t>Кипър</w:t>
            </w:r>
          </w:p>
        </w:tc>
        <w:tc>
          <w:tcPr>
            <w:tcW w:w="786" w:type="pct"/>
            <w:shd w:val="clear" w:color="auto" w:fill="auto"/>
          </w:tcPr>
          <w:p w:rsidR="00106A2A" w:rsidRPr="00106A2A" w:rsidRDefault="00106A2A" w:rsidP="00106A2A">
            <w:pPr>
              <w:widowControl/>
              <w:spacing w:line="360" w:lineRule="auto"/>
              <w:jc w:val="right"/>
            </w:pPr>
            <w:r w:rsidRPr="00106A2A">
              <w:t xml:space="preserve"> 0,20 </w:t>
            </w:r>
          </w:p>
        </w:tc>
        <w:tc>
          <w:tcPr>
            <w:tcW w:w="1596" w:type="pct"/>
            <w:shd w:val="clear" w:color="auto" w:fill="auto"/>
          </w:tcPr>
          <w:p w:rsidR="00106A2A" w:rsidRPr="00106A2A" w:rsidRDefault="00106A2A" w:rsidP="00106A2A">
            <w:pPr>
              <w:widowControl/>
              <w:spacing w:line="360" w:lineRule="auto"/>
              <w:jc w:val="right"/>
              <w:rPr>
                <w:b/>
                <w:bCs/>
                <w:i/>
                <w:iCs/>
              </w:rPr>
            </w:pPr>
            <w:r w:rsidRPr="00106A2A">
              <w:rPr>
                <w:b/>
                <w:i/>
              </w:rPr>
              <w:t xml:space="preserve"> 131 205 466 </w:t>
            </w:r>
          </w:p>
        </w:tc>
        <w:tc>
          <w:tcPr>
            <w:tcW w:w="1597" w:type="pct"/>
          </w:tcPr>
          <w:p w:rsidR="00106A2A" w:rsidRPr="00106A2A" w:rsidRDefault="00106A2A" w:rsidP="00106A2A">
            <w:pPr>
              <w:widowControl/>
              <w:spacing w:line="360" w:lineRule="auto"/>
              <w:jc w:val="right"/>
              <w:rPr>
                <w:b/>
                <w:bCs/>
                <w:i/>
                <w:iCs/>
              </w:rPr>
            </w:pPr>
            <w:r w:rsidRPr="00106A2A">
              <w:rPr>
                <w:b/>
                <w:i/>
              </w:rPr>
              <w:t xml:space="preserve"> 110 212 591 </w:t>
            </w:r>
          </w:p>
        </w:tc>
      </w:tr>
      <w:tr w:rsidR="00106A2A" w:rsidRPr="00106A2A" w:rsidTr="006919B6">
        <w:trPr>
          <w:trHeight w:val="340"/>
          <w:tblHeader/>
        </w:trPr>
        <w:tc>
          <w:tcPr>
            <w:tcW w:w="1021" w:type="pct"/>
          </w:tcPr>
          <w:p w:rsidR="00106A2A" w:rsidRPr="00106A2A" w:rsidRDefault="00106A2A" w:rsidP="00106A2A">
            <w:pPr>
              <w:widowControl/>
              <w:spacing w:line="360" w:lineRule="auto"/>
              <w:jc w:val="center"/>
            </w:pPr>
            <w:r w:rsidRPr="00106A2A">
              <w:t>Латвия</w:t>
            </w:r>
          </w:p>
        </w:tc>
        <w:tc>
          <w:tcPr>
            <w:tcW w:w="786" w:type="pct"/>
            <w:shd w:val="clear" w:color="auto" w:fill="auto"/>
          </w:tcPr>
          <w:p w:rsidR="00106A2A" w:rsidRPr="00106A2A" w:rsidRDefault="00106A2A" w:rsidP="00106A2A">
            <w:pPr>
              <w:widowControl/>
              <w:spacing w:line="360" w:lineRule="auto"/>
              <w:jc w:val="right"/>
            </w:pPr>
            <w:r w:rsidRPr="00106A2A">
              <w:t xml:space="preserve"> 0,71 </w:t>
            </w:r>
          </w:p>
        </w:tc>
        <w:tc>
          <w:tcPr>
            <w:tcW w:w="1596" w:type="pct"/>
            <w:shd w:val="clear" w:color="auto" w:fill="auto"/>
          </w:tcPr>
          <w:p w:rsidR="00106A2A" w:rsidRPr="00106A2A" w:rsidRDefault="00106A2A" w:rsidP="00106A2A">
            <w:pPr>
              <w:widowControl/>
              <w:spacing w:line="360" w:lineRule="auto"/>
              <w:jc w:val="right"/>
              <w:rPr>
                <w:b/>
                <w:bCs/>
                <w:i/>
                <w:iCs/>
              </w:rPr>
            </w:pPr>
            <w:r w:rsidRPr="00106A2A">
              <w:rPr>
                <w:b/>
                <w:i/>
              </w:rPr>
              <w:t xml:space="preserve"> 463 676 528 </w:t>
            </w:r>
          </w:p>
        </w:tc>
        <w:tc>
          <w:tcPr>
            <w:tcW w:w="1597" w:type="pct"/>
          </w:tcPr>
          <w:p w:rsidR="00106A2A" w:rsidRPr="00106A2A" w:rsidRDefault="00106A2A" w:rsidP="00106A2A">
            <w:pPr>
              <w:widowControl/>
              <w:spacing w:line="360" w:lineRule="auto"/>
              <w:jc w:val="right"/>
              <w:rPr>
                <w:b/>
                <w:bCs/>
                <w:i/>
                <w:iCs/>
              </w:rPr>
            </w:pPr>
            <w:r w:rsidRPr="00106A2A">
              <w:rPr>
                <w:b/>
                <w:i/>
              </w:rPr>
              <w:t xml:space="preserve"> 389 488 284 </w:t>
            </w:r>
          </w:p>
        </w:tc>
      </w:tr>
      <w:tr w:rsidR="00106A2A" w:rsidRPr="00106A2A" w:rsidTr="006919B6">
        <w:trPr>
          <w:trHeight w:val="340"/>
          <w:tblHeader/>
        </w:trPr>
        <w:tc>
          <w:tcPr>
            <w:tcW w:w="1021" w:type="pct"/>
          </w:tcPr>
          <w:p w:rsidR="00106A2A" w:rsidRPr="00106A2A" w:rsidRDefault="00106A2A" w:rsidP="00106A2A">
            <w:pPr>
              <w:widowControl/>
              <w:spacing w:line="360" w:lineRule="auto"/>
              <w:jc w:val="center"/>
            </w:pPr>
            <w:r w:rsidRPr="00106A2A">
              <w:t>Литва</w:t>
            </w:r>
          </w:p>
        </w:tc>
        <w:tc>
          <w:tcPr>
            <w:tcW w:w="786" w:type="pct"/>
            <w:shd w:val="clear" w:color="auto" w:fill="auto"/>
          </w:tcPr>
          <w:p w:rsidR="00106A2A" w:rsidRPr="00106A2A" w:rsidRDefault="00106A2A" w:rsidP="00106A2A">
            <w:pPr>
              <w:widowControl/>
              <w:spacing w:line="360" w:lineRule="auto"/>
              <w:jc w:val="right"/>
            </w:pPr>
            <w:r w:rsidRPr="00106A2A">
              <w:t xml:space="preserve"> 1,02 </w:t>
            </w:r>
          </w:p>
        </w:tc>
        <w:tc>
          <w:tcPr>
            <w:tcW w:w="1596" w:type="pct"/>
            <w:shd w:val="clear" w:color="auto" w:fill="auto"/>
          </w:tcPr>
          <w:p w:rsidR="00106A2A" w:rsidRPr="00106A2A" w:rsidRDefault="00106A2A" w:rsidP="00106A2A">
            <w:pPr>
              <w:widowControl/>
              <w:spacing w:line="360" w:lineRule="auto"/>
              <w:jc w:val="right"/>
              <w:rPr>
                <w:b/>
                <w:bCs/>
                <w:i/>
                <w:iCs/>
              </w:rPr>
            </w:pPr>
            <w:r w:rsidRPr="00106A2A">
              <w:rPr>
                <w:b/>
                <w:i/>
              </w:rPr>
              <w:t xml:space="preserve"> 664 171 367 </w:t>
            </w:r>
          </w:p>
        </w:tc>
        <w:tc>
          <w:tcPr>
            <w:tcW w:w="1597" w:type="pct"/>
          </w:tcPr>
          <w:p w:rsidR="00106A2A" w:rsidRPr="00106A2A" w:rsidRDefault="00106A2A" w:rsidP="00106A2A">
            <w:pPr>
              <w:widowControl/>
              <w:spacing w:line="360" w:lineRule="auto"/>
              <w:jc w:val="right"/>
              <w:rPr>
                <w:b/>
                <w:bCs/>
                <w:i/>
                <w:iCs/>
              </w:rPr>
            </w:pPr>
            <w:r w:rsidRPr="00106A2A">
              <w:rPr>
                <w:b/>
                <w:i/>
              </w:rPr>
              <w:t xml:space="preserve"> 557 903 948 </w:t>
            </w:r>
          </w:p>
        </w:tc>
      </w:tr>
      <w:tr w:rsidR="00106A2A" w:rsidRPr="00106A2A" w:rsidTr="006919B6">
        <w:trPr>
          <w:trHeight w:val="340"/>
          <w:tblHeader/>
        </w:trPr>
        <w:tc>
          <w:tcPr>
            <w:tcW w:w="1021" w:type="pct"/>
          </w:tcPr>
          <w:p w:rsidR="00106A2A" w:rsidRPr="00106A2A" w:rsidRDefault="00106A2A" w:rsidP="00106A2A">
            <w:pPr>
              <w:widowControl/>
              <w:spacing w:line="360" w:lineRule="auto"/>
              <w:jc w:val="center"/>
            </w:pPr>
            <w:r w:rsidRPr="00106A2A">
              <w:t>Люксембург</w:t>
            </w:r>
          </w:p>
        </w:tc>
        <w:tc>
          <w:tcPr>
            <w:tcW w:w="786" w:type="pct"/>
            <w:shd w:val="clear" w:color="auto" w:fill="auto"/>
          </w:tcPr>
          <w:p w:rsidR="00106A2A" w:rsidRPr="00106A2A" w:rsidRDefault="00106A2A" w:rsidP="00106A2A">
            <w:pPr>
              <w:widowControl/>
              <w:spacing w:line="360" w:lineRule="auto"/>
              <w:jc w:val="right"/>
            </w:pPr>
            <w:r w:rsidRPr="00106A2A">
              <w:t xml:space="preserve"> 0,10 </w:t>
            </w:r>
          </w:p>
        </w:tc>
        <w:tc>
          <w:tcPr>
            <w:tcW w:w="1596" w:type="pct"/>
            <w:shd w:val="clear" w:color="auto" w:fill="auto"/>
          </w:tcPr>
          <w:p w:rsidR="00106A2A" w:rsidRPr="00106A2A" w:rsidRDefault="00106A2A" w:rsidP="00106A2A">
            <w:pPr>
              <w:widowControl/>
              <w:spacing w:line="360" w:lineRule="auto"/>
              <w:jc w:val="right"/>
              <w:rPr>
                <w:b/>
                <w:bCs/>
                <w:i/>
                <w:iCs/>
              </w:rPr>
            </w:pPr>
            <w:r w:rsidRPr="00106A2A">
              <w:rPr>
                <w:b/>
                <w:i/>
              </w:rPr>
              <w:t xml:space="preserve"> 66 102 592 </w:t>
            </w:r>
          </w:p>
        </w:tc>
        <w:tc>
          <w:tcPr>
            <w:tcW w:w="1597" w:type="pct"/>
          </w:tcPr>
          <w:p w:rsidR="00106A2A" w:rsidRPr="00106A2A" w:rsidRDefault="00106A2A" w:rsidP="00106A2A">
            <w:pPr>
              <w:widowControl/>
              <w:spacing w:line="360" w:lineRule="auto"/>
              <w:jc w:val="right"/>
              <w:rPr>
                <w:b/>
                <w:bCs/>
                <w:i/>
                <w:iCs/>
              </w:rPr>
            </w:pPr>
            <w:r w:rsidRPr="00106A2A">
              <w:rPr>
                <w:b/>
                <w:i/>
              </w:rPr>
              <w:t xml:space="preserve"> 55 526 177 </w:t>
            </w:r>
          </w:p>
        </w:tc>
      </w:tr>
      <w:tr w:rsidR="00106A2A" w:rsidRPr="00106A2A" w:rsidTr="006919B6">
        <w:trPr>
          <w:trHeight w:val="340"/>
          <w:tblHeader/>
        </w:trPr>
        <w:tc>
          <w:tcPr>
            <w:tcW w:w="1021" w:type="pct"/>
          </w:tcPr>
          <w:p w:rsidR="00106A2A" w:rsidRPr="00106A2A" w:rsidRDefault="00106A2A" w:rsidP="00106A2A">
            <w:pPr>
              <w:widowControl/>
              <w:spacing w:line="360" w:lineRule="auto"/>
              <w:jc w:val="center"/>
            </w:pPr>
            <w:r w:rsidRPr="00106A2A">
              <w:t>Унгария</w:t>
            </w:r>
          </w:p>
        </w:tc>
        <w:tc>
          <w:tcPr>
            <w:tcW w:w="786" w:type="pct"/>
            <w:shd w:val="clear" w:color="auto" w:fill="auto"/>
          </w:tcPr>
          <w:p w:rsidR="00106A2A" w:rsidRPr="00106A2A" w:rsidRDefault="00106A2A" w:rsidP="00106A2A">
            <w:pPr>
              <w:widowControl/>
              <w:spacing w:line="360" w:lineRule="auto"/>
              <w:jc w:val="right"/>
            </w:pPr>
            <w:r w:rsidRPr="00106A2A">
              <w:t xml:space="preserve"> 4,33 </w:t>
            </w:r>
          </w:p>
        </w:tc>
        <w:tc>
          <w:tcPr>
            <w:tcW w:w="1596" w:type="pct"/>
            <w:shd w:val="clear" w:color="auto" w:fill="auto"/>
          </w:tcPr>
          <w:p w:rsidR="00106A2A" w:rsidRPr="00106A2A" w:rsidRDefault="00106A2A" w:rsidP="00106A2A">
            <w:pPr>
              <w:widowControl/>
              <w:spacing w:line="360" w:lineRule="auto"/>
              <w:jc w:val="right"/>
              <w:rPr>
                <w:b/>
                <w:bCs/>
                <w:i/>
                <w:iCs/>
              </w:rPr>
            </w:pPr>
            <w:r w:rsidRPr="00106A2A">
              <w:rPr>
                <w:b/>
                <w:i/>
              </w:rPr>
              <w:t xml:space="preserve"> 2 815 968 174 </w:t>
            </w:r>
          </w:p>
        </w:tc>
        <w:tc>
          <w:tcPr>
            <w:tcW w:w="1597" w:type="pct"/>
          </w:tcPr>
          <w:p w:rsidR="00106A2A" w:rsidRPr="00106A2A" w:rsidRDefault="00106A2A" w:rsidP="00106A2A">
            <w:pPr>
              <w:widowControl/>
              <w:spacing w:line="360" w:lineRule="auto"/>
              <w:jc w:val="right"/>
              <w:rPr>
                <w:b/>
                <w:bCs/>
                <w:i/>
                <w:iCs/>
              </w:rPr>
            </w:pPr>
            <w:r w:rsidRPr="00106A2A">
              <w:rPr>
                <w:b/>
                <w:i/>
              </w:rPr>
              <w:t xml:space="preserve"> 2 365 413 267 </w:t>
            </w:r>
          </w:p>
        </w:tc>
      </w:tr>
      <w:tr w:rsidR="00106A2A" w:rsidRPr="00106A2A" w:rsidTr="006919B6">
        <w:trPr>
          <w:trHeight w:val="340"/>
          <w:tblHeader/>
        </w:trPr>
        <w:tc>
          <w:tcPr>
            <w:tcW w:w="1021" w:type="pct"/>
          </w:tcPr>
          <w:p w:rsidR="00106A2A" w:rsidRPr="00106A2A" w:rsidRDefault="00106A2A" w:rsidP="00106A2A">
            <w:pPr>
              <w:pageBreakBefore/>
              <w:widowControl/>
              <w:spacing w:line="360" w:lineRule="auto"/>
              <w:jc w:val="center"/>
            </w:pPr>
            <w:r w:rsidRPr="00106A2A">
              <w:t>Малта</w:t>
            </w:r>
          </w:p>
        </w:tc>
        <w:tc>
          <w:tcPr>
            <w:tcW w:w="786" w:type="pct"/>
            <w:shd w:val="clear" w:color="auto" w:fill="auto"/>
          </w:tcPr>
          <w:p w:rsidR="00106A2A" w:rsidRPr="00106A2A" w:rsidRDefault="00106A2A" w:rsidP="00106A2A">
            <w:pPr>
              <w:widowControl/>
              <w:spacing w:line="360" w:lineRule="auto"/>
              <w:jc w:val="right"/>
              <w:rPr>
                <w:b/>
                <w:bCs/>
                <w:i/>
                <w:iCs/>
              </w:rPr>
            </w:pPr>
            <w:r w:rsidRPr="00106A2A">
              <w:rPr>
                <w:b/>
              </w:rPr>
              <w:t xml:space="preserve"> </w:t>
            </w:r>
            <w:r w:rsidRPr="00106A2A">
              <w:rPr>
                <w:b/>
                <w:i/>
              </w:rPr>
              <w:t xml:space="preserve">0,07 </w:t>
            </w:r>
          </w:p>
        </w:tc>
        <w:tc>
          <w:tcPr>
            <w:tcW w:w="1596" w:type="pct"/>
            <w:shd w:val="clear" w:color="auto" w:fill="auto"/>
          </w:tcPr>
          <w:p w:rsidR="00106A2A" w:rsidRPr="00106A2A" w:rsidRDefault="00106A2A" w:rsidP="00106A2A">
            <w:pPr>
              <w:widowControl/>
              <w:spacing w:line="360" w:lineRule="auto"/>
              <w:jc w:val="right"/>
              <w:rPr>
                <w:b/>
                <w:bCs/>
                <w:i/>
                <w:iCs/>
              </w:rPr>
            </w:pPr>
            <w:r w:rsidRPr="00106A2A">
              <w:rPr>
                <w:b/>
                <w:i/>
              </w:rPr>
              <w:t xml:space="preserve"> 45 500 000 </w:t>
            </w:r>
          </w:p>
        </w:tc>
        <w:tc>
          <w:tcPr>
            <w:tcW w:w="1597" w:type="pct"/>
          </w:tcPr>
          <w:p w:rsidR="00106A2A" w:rsidRPr="00106A2A" w:rsidRDefault="00106A2A" w:rsidP="00106A2A">
            <w:pPr>
              <w:widowControl/>
              <w:spacing w:line="360" w:lineRule="auto"/>
              <w:jc w:val="right"/>
              <w:rPr>
                <w:b/>
                <w:bCs/>
                <w:i/>
                <w:iCs/>
              </w:rPr>
            </w:pPr>
            <w:r w:rsidRPr="00106A2A">
              <w:rPr>
                <w:b/>
                <w:i/>
              </w:rPr>
              <w:t xml:space="preserve"> 38 220 000 </w:t>
            </w:r>
          </w:p>
        </w:tc>
      </w:tr>
      <w:tr w:rsidR="00106A2A" w:rsidRPr="00106A2A" w:rsidTr="006919B6">
        <w:trPr>
          <w:trHeight w:val="340"/>
          <w:tblHeader/>
        </w:trPr>
        <w:tc>
          <w:tcPr>
            <w:tcW w:w="1021" w:type="pct"/>
          </w:tcPr>
          <w:p w:rsidR="00106A2A" w:rsidRPr="00106A2A" w:rsidRDefault="00106A2A" w:rsidP="00106A2A">
            <w:pPr>
              <w:widowControl/>
              <w:spacing w:line="360" w:lineRule="auto"/>
              <w:jc w:val="center"/>
            </w:pPr>
            <w:r w:rsidRPr="00106A2A">
              <w:t>Нидерландия</w:t>
            </w:r>
          </w:p>
        </w:tc>
        <w:tc>
          <w:tcPr>
            <w:tcW w:w="786" w:type="pct"/>
            <w:shd w:val="clear" w:color="auto" w:fill="auto"/>
          </w:tcPr>
          <w:p w:rsidR="00106A2A" w:rsidRPr="00106A2A" w:rsidRDefault="00106A2A" w:rsidP="00106A2A">
            <w:pPr>
              <w:widowControl/>
              <w:spacing w:line="360" w:lineRule="auto"/>
              <w:jc w:val="right"/>
            </w:pPr>
            <w:r w:rsidRPr="00106A2A">
              <w:t xml:space="preserve"> 1,11 </w:t>
            </w:r>
          </w:p>
        </w:tc>
        <w:tc>
          <w:tcPr>
            <w:tcW w:w="1596" w:type="pct"/>
            <w:shd w:val="clear" w:color="auto" w:fill="auto"/>
          </w:tcPr>
          <w:p w:rsidR="00106A2A" w:rsidRPr="00106A2A" w:rsidRDefault="00106A2A" w:rsidP="00106A2A">
            <w:pPr>
              <w:widowControl/>
              <w:spacing w:line="360" w:lineRule="auto"/>
              <w:jc w:val="right"/>
              <w:rPr>
                <w:b/>
                <w:bCs/>
                <w:i/>
                <w:iCs/>
              </w:rPr>
            </w:pPr>
            <w:r w:rsidRPr="00106A2A">
              <w:rPr>
                <w:b/>
                <w:i/>
              </w:rPr>
              <w:t xml:space="preserve"> 720 463 632 </w:t>
            </w:r>
          </w:p>
        </w:tc>
        <w:tc>
          <w:tcPr>
            <w:tcW w:w="1597" w:type="pct"/>
          </w:tcPr>
          <w:p w:rsidR="00106A2A" w:rsidRPr="00106A2A" w:rsidRDefault="00106A2A" w:rsidP="00106A2A">
            <w:pPr>
              <w:widowControl/>
              <w:spacing w:line="360" w:lineRule="auto"/>
              <w:jc w:val="right"/>
              <w:rPr>
                <w:b/>
                <w:bCs/>
                <w:i/>
                <w:iCs/>
              </w:rPr>
            </w:pPr>
            <w:r w:rsidRPr="00106A2A">
              <w:rPr>
                <w:b/>
                <w:i/>
              </w:rPr>
              <w:t xml:space="preserve"> 605 189 451 </w:t>
            </w:r>
          </w:p>
        </w:tc>
      </w:tr>
      <w:tr w:rsidR="00106A2A" w:rsidRPr="00106A2A" w:rsidTr="006919B6">
        <w:trPr>
          <w:trHeight w:val="340"/>
          <w:tblHeader/>
        </w:trPr>
        <w:tc>
          <w:tcPr>
            <w:tcW w:w="1021" w:type="pct"/>
          </w:tcPr>
          <w:p w:rsidR="00106A2A" w:rsidRPr="00106A2A" w:rsidRDefault="00106A2A" w:rsidP="00106A2A">
            <w:pPr>
              <w:widowControl/>
              <w:spacing w:line="360" w:lineRule="auto"/>
              <w:jc w:val="center"/>
            </w:pPr>
            <w:r w:rsidRPr="00106A2A">
              <w:t>Австрия</w:t>
            </w:r>
          </w:p>
        </w:tc>
        <w:tc>
          <w:tcPr>
            <w:tcW w:w="786" w:type="pct"/>
            <w:shd w:val="clear" w:color="auto" w:fill="auto"/>
          </w:tcPr>
          <w:p w:rsidR="00106A2A" w:rsidRPr="00106A2A" w:rsidRDefault="00106A2A" w:rsidP="00106A2A">
            <w:pPr>
              <w:widowControl/>
              <w:spacing w:line="360" w:lineRule="auto"/>
              <w:jc w:val="right"/>
            </w:pPr>
            <w:r w:rsidRPr="00106A2A">
              <w:t xml:space="preserve"> 0,89 </w:t>
            </w:r>
          </w:p>
        </w:tc>
        <w:tc>
          <w:tcPr>
            <w:tcW w:w="1596" w:type="pct"/>
            <w:shd w:val="clear" w:color="auto" w:fill="auto"/>
          </w:tcPr>
          <w:p w:rsidR="00106A2A" w:rsidRPr="00106A2A" w:rsidRDefault="00106A2A" w:rsidP="00106A2A">
            <w:pPr>
              <w:widowControl/>
              <w:spacing w:line="360" w:lineRule="auto"/>
              <w:jc w:val="right"/>
              <w:rPr>
                <w:b/>
                <w:bCs/>
                <w:i/>
                <w:iCs/>
              </w:rPr>
            </w:pPr>
            <w:r w:rsidRPr="00106A2A">
              <w:rPr>
                <w:b/>
                <w:i/>
              </w:rPr>
              <w:t xml:space="preserve"> 578 936 189 </w:t>
            </w:r>
          </w:p>
        </w:tc>
        <w:tc>
          <w:tcPr>
            <w:tcW w:w="1597" w:type="pct"/>
          </w:tcPr>
          <w:p w:rsidR="00106A2A" w:rsidRPr="00106A2A" w:rsidRDefault="00106A2A" w:rsidP="00106A2A">
            <w:pPr>
              <w:widowControl/>
              <w:spacing w:line="360" w:lineRule="auto"/>
              <w:jc w:val="right"/>
              <w:rPr>
                <w:b/>
                <w:bCs/>
                <w:i/>
                <w:iCs/>
              </w:rPr>
            </w:pPr>
            <w:r w:rsidRPr="00106A2A">
              <w:rPr>
                <w:b/>
                <w:i/>
              </w:rPr>
              <w:t xml:space="preserve"> 486 306 399 </w:t>
            </w:r>
          </w:p>
        </w:tc>
      </w:tr>
      <w:tr w:rsidR="00106A2A" w:rsidRPr="00106A2A" w:rsidTr="006919B6">
        <w:trPr>
          <w:trHeight w:val="340"/>
          <w:tblHeader/>
        </w:trPr>
        <w:tc>
          <w:tcPr>
            <w:tcW w:w="1021" w:type="pct"/>
          </w:tcPr>
          <w:p w:rsidR="00106A2A" w:rsidRPr="00106A2A" w:rsidRDefault="00106A2A" w:rsidP="00106A2A">
            <w:pPr>
              <w:widowControl/>
              <w:spacing w:line="360" w:lineRule="auto"/>
              <w:jc w:val="center"/>
            </w:pPr>
            <w:r w:rsidRPr="00106A2A">
              <w:t xml:space="preserve">Полша </w:t>
            </w:r>
          </w:p>
        </w:tc>
        <w:tc>
          <w:tcPr>
            <w:tcW w:w="786" w:type="pct"/>
            <w:shd w:val="clear" w:color="auto" w:fill="auto"/>
          </w:tcPr>
          <w:p w:rsidR="00106A2A" w:rsidRPr="00106A2A" w:rsidRDefault="00106A2A" w:rsidP="00106A2A">
            <w:pPr>
              <w:widowControl/>
              <w:spacing w:line="360" w:lineRule="auto"/>
              <w:jc w:val="right"/>
              <w:rPr>
                <w:b/>
                <w:bCs/>
                <w:i/>
                <w:iCs/>
              </w:rPr>
            </w:pPr>
            <w:r w:rsidRPr="00106A2A">
              <w:rPr>
                <w:i/>
              </w:rPr>
              <w:t xml:space="preserve"> </w:t>
            </w:r>
            <w:r w:rsidRPr="00106A2A">
              <w:rPr>
                <w:b/>
                <w:i/>
              </w:rPr>
              <w:t xml:space="preserve">17,60 </w:t>
            </w:r>
          </w:p>
        </w:tc>
        <w:tc>
          <w:tcPr>
            <w:tcW w:w="1596" w:type="pct"/>
            <w:shd w:val="clear" w:color="auto" w:fill="auto"/>
          </w:tcPr>
          <w:p w:rsidR="00106A2A" w:rsidRPr="00106A2A" w:rsidRDefault="00106A2A" w:rsidP="00106A2A">
            <w:pPr>
              <w:widowControl/>
              <w:spacing w:line="360" w:lineRule="auto"/>
              <w:jc w:val="right"/>
              <w:rPr>
                <w:b/>
                <w:bCs/>
                <w:i/>
                <w:iCs/>
              </w:rPr>
            </w:pPr>
            <w:r w:rsidRPr="00106A2A">
              <w:rPr>
                <w:b/>
                <w:i/>
              </w:rPr>
              <w:t xml:space="preserve"> 11 439 026 446 </w:t>
            </w:r>
          </w:p>
        </w:tc>
        <w:tc>
          <w:tcPr>
            <w:tcW w:w="1597" w:type="pct"/>
          </w:tcPr>
          <w:p w:rsidR="00106A2A" w:rsidRPr="00106A2A" w:rsidRDefault="00106A2A" w:rsidP="00106A2A">
            <w:pPr>
              <w:widowControl/>
              <w:spacing w:line="360" w:lineRule="auto"/>
              <w:jc w:val="right"/>
              <w:rPr>
                <w:b/>
                <w:bCs/>
                <w:i/>
                <w:iCs/>
              </w:rPr>
            </w:pPr>
            <w:r w:rsidRPr="00106A2A">
              <w:rPr>
                <w:b/>
                <w:i/>
              </w:rPr>
              <w:t xml:space="preserve"> 9 608 782 215 </w:t>
            </w:r>
          </w:p>
        </w:tc>
      </w:tr>
      <w:tr w:rsidR="00106A2A" w:rsidRPr="00106A2A" w:rsidTr="006919B6">
        <w:trPr>
          <w:trHeight w:val="340"/>
          <w:tblHeader/>
        </w:trPr>
        <w:tc>
          <w:tcPr>
            <w:tcW w:w="1021" w:type="pct"/>
          </w:tcPr>
          <w:p w:rsidR="00106A2A" w:rsidRPr="00106A2A" w:rsidRDefault="00106A2A" w:rsidP="00106A2A">
            <w:pPr>
              <w:widowControl/>
              <w:spacing w:line="360" w:lineRule="auto"/>
              <w:jc w:val="center"/>
            </w:pPr>
            <w:r w:rsidRPr="00106A2A">
              <w:t>Португалия</w:t>
            </w:r>
          </w:p>
        </w:tc>
        <w:tc>
          <w:tcPr>
            <w:tcW w:w="786" w:type="pct"/>
            <w:shd w:val="clear" w:color="auto" w:fill="auto"/>
          </w:tcPr>
          <w:p w:rsidR="00106A2A" w:rsidRPr="00106A2A" w:rsidRDefault="00106A2A" w:rsidP="00106A2A">
            <w:pPr>
              <w:widowControl/>
              <w:spacing w:line="360" w:lineRule="auto"/>
              <w:jc w:val="right"/>
            </w:pPr>
            <w:r w:rsidRPr="00106A2A">
              <w:t xml:space="preserve"> 1,88 </w:t>
            </w:r>
          </w:p>
        </w:tc>
        <w:tc>
          <w:tcPr>
            <w:tcW w:w="1596" w:type="pct"/>
            <w:shd w:val="clear" w:color="auto" w:fill="auto"/>
          </w:tcPr>
          <w:p w:rsidR="00106A2A" w:rsidRPr="00106A2A" w:rsidRDefault="00106A2A" w:rsidP="00106A2A">
            <w:pPr>
              <w:widowControl/>
              <w:spacing w:line="360" w:lineRule="auto"/>
              <w:jc w:val="right"/>
              <w:rPr>
                <w:b/>
                <w:bCs/>
                <w:i/>
                <w:iCs/>
              </w:rPr>
            </w:pPr>
            <w:r w:rsidRPr="00106A2A">
              <w:rPr>
                <w:b/>
                <w:i/>
              </w:rPr>
              <w:t xml:space="preserve"> 1 223 154 017 </w:t>
            </w:r>
          </w:p>
        </w:tc>
        <w:tc>
          <w:tcPr>
            <w:tcW w:w="1597" w:type="pct"/>
          </w:tcPr>
          <w:p w:rsidR="00106A2A" w:rsidRPr="00106A2A" w:rsidRDefault="00106A2A" w:rsidP="00106A2A">
            <w:pPr>
              <w:widowControl/>
              <w:spacing w:line="360" w:lineRule="auto"/>
              <w:jc w:val="right"/>
              <w:rPr>
                <w:b/>
                <w:bCs/>
                <w:i/>
                <w:iCs/>
              </w:rPr>
            </w:pPr>
            <w:r w:rsidRPr="00106A2A">
              <w:rPr>
                <w:b/>
                <w:i/>
              </w:rPr>
              <w:t xml:space="preserve"> 1 027 449 374 </w:t>
            </w:r>
          </w:p>
        </w:tc>
      </w:tr>
      <w:tr w:rsidR="00106A2A" w:rsidRPr="00106A2A" w:rsidTr="006919B6">
        <w:trPr>
          <w:trHeight w:val="340"/>
          <w:tblHeader/>
        </w:trPr>
        <w:tc>
          <w:tcPr>
            <w:tcW w:w="1021" w:type="pct"/>
          </w:tcPr>
          <w:p w:rsidR="00106A2A" w:rsidRPr="00106A2A" w:rsidRDefault="00106A2A" w:rsidP="00106A2A">
            <w:pPr>
              <w:widowControl/>
              <w:spacing w:line="360" w:lineRule="auto"/>
              <w:jc w:val="center"/>
            </w:pPr>
            <w:r w:rsidRPr="00106A2A">
              <w:t xml:space="preserve">Румъния </w:t>
            </w:r>
          </w:p>
        </w:tc>
        <w:tc>
          <w:tcPr>
            <w:tcW w:w="786" w:type="pct"/>
            <w:shd w:val="clear" w:color="auto" w:fill="auto"/>
          </w:tcPr>
          <w:p w:rsidR="00106A2A" w:rsidRPr="00106A2A" w:rsidRDefault="00106A2A" w:rsidP="00106A2A">
            <w:pPr>
              <w:widowControl/>
              <w:spacing w:line="360" w:lineRule="auto"/>
              <w:jc w:val="right"/>
              <w:rPr>
                <w:b/>
                <w:bCs/>
                <w:i/>
                <w:iCs/>
              </w:rPr>
            </w:pPr>
            <w:r w:rsidRPr="00106A2A">
              <w:rPr>
                <w:i/>
              </w:rPr>
              <w:t xml:space="preserve"> </w:t>
            </w:r>
            <w:r w:rsidRPr="00106A2A">
              <w:rPr>
                <w:b/>
                <w:i/>
              </w:rPr>
              <w:t xml:space="preserve">9,25 </w:t>
            </w:r>
          </w:p>
        </w:tc>
        <w:tc>
          <w:tcPr>
            <w:tcW w:w="1596" w:type="pct"/>
            <w:shd w:val="clear" w:color="auto" w:fill="auto"/>
          </w:tcPr>
          <w:p w:rsidR="00106A2A" w:rsidRPr="00106A2A" w:rsidRDefault="00106A2A" w:rsidP="00106A2A">
            <w:pPr>
              <w:widowControl/>
              <w:spacing w:line="360" w:lineRule="auto"/>
              <w:jc w:val="right"/>
              <w:rPr>
                <w:b/>
                <w:bCs/>
                <w:i/>
                <w:iCs/>
              </w:rPr>
            </w:pPr>
            <w:r w:rsidRPr="00106A2A">
              <w:rPr>
                <w:b/>
                <w:i/>
              </w:rPr>
              <w:t xml:space="preserve"> 6 012 677 290 </w:t>
            </w:r>
          </w:p>
        </w:tc>
        <w:tc>
          <w:tcPr>
            <w:tcW w:w="1597" w:type="pct"/>
          </w:tcPr>
          <w:p w:rsidR="00106A2A" w:rsidRPr="00106A2A" w:rsidRDefault="00106A2A" w:rsidP="00106A2A">
            <w:pPr>
              <w:widowControl/>
              <w:spacing w:line="360" w:lineRule="auto"/>
              <w:jc w:val="right"/>
              <w:rPr>
                <w:b/>
                <w:bCs/>
                <w:i/>
                <w:iCs/>
              </w:rPr>
            </w:pPr>
            <w:r w:rsidRPr="00106A2A">
              <w:rPr>
                <w:b/>
                <w:i/>
              </w:rPr>
              <w:t xml:space="preserve"> 5 050 648 923 </w:t>
            </w:r>
          </w:p>
        </w:tc>
      </w:tr>
      <w:tr w:rsidR="00106A2A" w:rsidRPr="00106A2A" w:rsidTr="006919B6">
        <w:trPr>
          <w:trHeight w:val="340"/>
          <w:tblHeader/>
        </w:trPr>
        <w:tc>
          <w:tcPr>
            <w:tcW w:w="1021" w:type="pct"/>
          </w:tcPr>
          <w:p w:rsidR="00106A2A" w:rsidRPr="00106A2A" w:rsidRDefault="00106A2A" w:rsidP="00106A2A">
            <w:pPr>
              <w:widowControl/>
              <w:spacing w:line="360" w:lineRule="auto"/>
              <w:jc w:val="center"/>
            </w:pPr>
            <w:r w:rsidRPr="00106A2A">
              <w:t>Словения</w:t>
            </w:r>
          </w:p>
        </w:tc>
        <w:tc>
          <w:tcPr>
            <w:tcW w:w="786" w:type="pct"/>
            <w:shd w:val="clear" w:color="auto" w:fill="auto"/>
          </w:tcPr>
          <w:p w:rsidR="00106A2A" w:rsidRPr="00106A2A" w:rsidRDefault="00106A2A" w:rsidP="00106A2A">
            <w:pPr>
              <w:widowControl/>
              <w:spacing w:line="360" w:lineRule="auto"/>
              <w:jc w:val="right"/>
            </w:pPr>
            <w:r w:rsidRPr="00106A2A">
              <w:t xml:space="preserve"> 0,55 </w:t>
            </w:r>
          </w:p>
        </w:tc>
        <w:tc>
          <w:tcPr>
            <w:tcW w:w="1596" w:type="pct"/>
            <w:shd w:val="clear" w:color="auto" w:fill="auto"/>
          </w:tcPr>
          <w:p w:rsidR="00106A2A" w:rsidRPr="00106A2A" w:rsidRDefault="00106A2A" w:rsidP="00106A2A">
            <w:pPr>
              <w:widowControl/>
              <w:spacing w:line="360" w:lineRule="auto"/>
              <w:jc w:val="right"/>
              <w:rPr>
                <w:b/>
                <w:bCs/>
                <w:i/>
                <w:iCs/>
              </w:rPr>
            </w:pPr>
            <w:r w:rsidRPr="00106A2A">
              <w:rPr>
                <w:b/>
                <w:i/>
              </w:rPr>
              <w:t xml:space="preserve"> 357 971 733 </w:t>
            </w:r>
          </w:p>
        </w:tc>
        <w:tc>
          <w:tcPr>
            <w:tcW w:w="1597" w:type="pct"/>
          </w:tcPr>
          <w:p w:rsidR="00106A2A" w:rsidRPr="00106A2A" w:rsidRDefault="00106A2A" w:rsidP="00106A2A">
            <w:pPr>
              <w:widowControl/>
              <w:spacing w:line="360" w:lineRule="auto"/>
              <w:jc w:val="right"/>
              <w:rPr>
                <w:b/>
                <w:bCs/>
                <w:i/>
                <w:iCs/>
              </w:rPr>
            </w:pPr>
            <w:r w:rsidRPr="00106A2A">
              <w:rPr>
                <w:b/>
                <w:i/>
              </w:rPr>
              <w:t xml:space="preserve"> 300 696 256 </w:t>
            </w:r>
          </w:p>
        </w:tc>
      </w:tr>
      <w:tr w:rsidR="00106A2A" w:rsidRPr="00106A2A" w:rsidTr="006919B6">
        <w:trPr>
          <w:trHeight w:val="340"/>
          <w:tblHeader/>
        </w:trPr>
        <w:tc>
          <w:tcPr>
            <w:tcW w:w="1021" w:type="pct"/>
          </w:tcPr>
          <w:p w:rsidR="00106A2A" w:rsidRPr="00106A2A" w:rsidRDefault="00106A2A" w:rsidP="00106A2A">
            <w:pPr>
              <w:widowControl/>
              <w:spacing w:line="360" w:lineRule="auto"/>
              <w:jc w:val="center"/>
            </w:pPr>
            <w:r w:rsidRPr="00106A2A">
              <w:t>Словакия</w:t>
            </w:r>
          </w:p>
        </w:tc>
        <w:tc>
          <w:tcPr>
            <w:tcW w:w="786" w:type="pct"/>
            <w:shd w:val="clear" w:color="auto" w:fill="auto"/>
          </w:tcPr>
          <w:p w:rsidR="00106A2A" w:rsidRPr="00106A2A" w:rsidRDefault="00106A2A" w:rsidP="00106A2A">
            <w:pPr>
              <w:widowControl/>
              <w:spacing w:line="360" w:lineRule="auto"/>
              <w:jc w:val="right"/>
              <w:rPr>
                <w:b/>
                <w:bCs/>
                <w:i/>
                <w:iCs/>
              </w:rPr>
            </w:pPr>
            <w:r w:rsidRPr="00106A2A">
              <w:t xml:space="preserve"> </w:t>
            </w:r>
            <w:r w:rsidRPr="00106A2A">
              <w:rPr>
                <w:b/>
                <w:i/>
              </w:rPr>
              <w:t xml:space="preserve">2,35 </w:t>
            </w:r>
          </w:p>
        </w:tc>
        <w:tc>
          <w:tcPr>
            <w:tcW w:w="1596" w:type="pct"/>
            <w:shd w:val="clear" w:color="auto" w:fill="auto"/>
          </w:tcPr>
          <w:p w:rsidR="00106A2A" w:rsidRPr="00106A2A" w:rsidRDefault="00106A2A" w:rsidP="00106A2A">
            <w:pPr>
              <w:widowControl/>
              <w:spacing w:line="360" w:lineRule="auto"/>
              <w:jc w:val="right"/>
              <w:rPr>
                <w:b/>
                <w:bCs/>
                <w:i/>
                <w:iCs/>
              </w:rPr>
            </w:pPr>
            <w:r w:rsidRPr="00106A2A">
              <w:rPr>
                <w:b/>
                <w:i/>
              </w:rPr>
              <w:t xml:space="preserve"> 1 530 553 074 </w:t>
            </w:r>
          </w:p>
        </w:tc>
        <w:tc>
          <w:tcPr>
            <w:tcW w:w="1597" w:type="pct"/>
          </w:tcPr>
          <w:p w:rsidR="00106A2A" w:rsidRPr="00106A2A" w:rsidRDefault="00106A2A" w:rsidP="00106A2A">
            <w:pPr>
              <w:widowControl/>
              <w:spacing w:line="360" w:lineRule="auto"/>
              <w:jc w:val="right"/>
              <w:rPr>
                <w:b/>
                <w:bCs/>
                <w:i/>
                <w:iCs/>
              </w:rPr>
            </w:pPr>
            <w:r w:rsidRPr="00106A2A">
              <w:rPr>
                <w:b/>
                <w:i/>
              </w:rPr>
              <w:t xml:space="preserve"> 1 285 664 582 </w:t>
            </w:r>
          </w:p>
        </w:tc>
      </w:tr>
      <w:tr w:rsidR="00106A2A" w:rsidRPr="00106A2A" w:rsidTr="006919B6">
        <w:trPr>
          <w:trHeight w:val="340"/>
          <w:tblHeader/>
        </w:trPr>
        <w:tc>
          <w:tcPr>
            <w:tcW w:w="1021" w:type="pct"/>
          </w:tcPr>
          <w:p w:rsidR="00106A2A" w:rsidRPr="00106A2A" w:rsidRDefault="00106A2A" w:rsidP="00106A2A">
            <w:pPr>
              <w:widowControl/>
              <w:spacing w:line="360" w:lineRule="auto"/>
              <w:jc w:val="center"/>
            </w:pPr>
            <w:r w:rsidRPr="00106A2A">
              <w:t>Финландия</w:t>
            </w:r>
          </w:p>
        </w:tc>
        <w:tc>
          <w:tcPr>
            <w:tcW w:w="786" w:type="pct"/>
            <w:shd w:val="clear" w:color="auto" w:fill="auto"/>
          </w:tcPr>
          <w:p w:rsidR="00106A2A" w:rsidRPr="00106A2A" w:rsidRDefault="00106A2A" w:rsidP="00106A2A">
            <w:pPr>
              <w:widowControl/>
              <w:spacing w:line="360" w:lineRule="auto"/>
              <w:jc w:val="right"/>
            </w:pPr>
            <w:r w:rsidRPr="00106A2A">
              <w:t xml:space="preserve"> 0,54 </w:t>
            </w:r>
          </w:p>
        </w:tc>
        <w:tc>
          <w:tcPr>
            <w:tcW w:w="1596" w:type="pct"/>
            <w:shd w:val="clear" w:color="auto" w:fill="auto"/>
          </w:tcPr>
          <w:p w:rsidR="00106A2A" w:rsidRPr="00106A2A" w:rsidRDefault="00106A2A" w:rsidP="00106A2A">
            <w:pPr>
              <w:widowControl/>
              <w:spacing w:line="360" w:lineRule="auto"/>
              <w:jc w:val="right"/>
              <w:rPr>
                <w:b/>
                <w:bCs/>
                <w:i/>
                <w:iCs/>
              </w:rPr>
            </w:pPr>
            <w:r w:rsidRPr="00106A2A">
              <w:rPr>
                <w:b/>
                <w:i/>
              </w:rPr>
              <w:t xml:space="preserve"> 348 132 328 </w:t>
            </w:r>
          </w:p>
        </w:tc>
        <w:tc>
          <w:tcPr>
            <w:tcW w:w="1597" w:type="pct"/>
          </w:tcPr>
          <w:p w:rsidR="00106A2A" w:rsidRPr="00106A2A" w:rsidRDefault="00106A2A" w:rsidP="00106A2A">
            <w:pPr>
              <w:widowControl/>
              <w:spacing w:line="360" w:lineRule="auto"/>
              <w:jc w:val="right"/>
              <w:rPr>
                <w:b/>
                <w:bCs/>
                <w:i/>
                <w:iCs/>
              </w:rPr>
            </w:pPr>
            <w:r w:rsidRPr="00106A2A">
              <w:rPr>
                <w:b/>
                <w:i/>
              </w:rPr>
              <w:t xml:space="preserve"> 292 431 155 </w:t>
            </w:r>
          </w:p>
        </w:tc>
      </w:tr>
      <w:tr w:rsidR="00106A2A" w:rsidRPr="00106A2A" w:rsidTr="006919B6">
        <w:trPr>
          <w:trHeight w:val="340"/>
          <w:tblHeader/>
        </w:trPr>
        <w:tc>
          <w:tcPr>
            <w:tcW w:w="1021" w:type="pct"/>
          </w:tcPr>
          <w:p w:rsidR="00106A2A" w:rsidRPr="00106A2A" w:rsidRDefault="00106A2A" w:rsidP="00106A2A">
            <w:pPr>
              <w:widowControl/>
              <w:spacing w:line="360" w:lineRule="auto"/>
              <w:jc w:val="center"/>
            </w:pPr>
            <w:r w:rsidRPr="00106A2A">
              <w:t>Швеция</w:t>
            </w:r>
          </w:p>
        </w:tc>
        <w:tc>
          <w:tcPr>
            <w:tcW w:w="786" w:type="pct"/>
            <w:shd w:val="clear" w:color="auto" w:fill="auto"/>
          </w:tcPr>
          <w:p w:rsidR="00106A2A" w:rsidRPr="00106A2A" w:rsidRDefault="00106A2A" w:rsidP="00106A2A">
            <w:pPr>
              <w:widowControl/>
              <w:spacing w:line="360" w:lineRule="auto"/>
              <w:jc w:val="right"/>
            </w:pPr>
            <w:r w:rsidRPr="00106A2A">
              <w:t xml:space="preserve"> 0,62 </w:t>
            </w:r>
          </w:p>
        </w:tc>
        <w:tc>
          <w:tcPr>
            <w:tcW w:w="1596" w:type="pct"/>
            <w:shd w:val="clear" w:color="auto" w:fill="auto"/>
          </w:tcPr>
          <w:p w:rsidR="00106A2A" w:rsidRPr="00106A2A" w:rsidRDefault="00106A2A" w:rsidP="00106A2A">
            <w:pPr>
              <w:widowControl/>
              <w:spacing w:line="360" w:lineRule="auto"/>
              <w:jc w:val="right"/>
              <w:rPr>
                <w:b/>
                <w:bCs/>
                <w:i/>
                <w:iCs/>
              </w:rPr>
            </w:pPr>
            <w:r w:rsidRPr="00106A2A">
              <w:rPr>
                <w:b/>
                <w:i/>
              </w:rPr>
              <w:t xml:space="preserve"> 400 386 447 </w:t>
            </w:r>
          </w:p>
        </w:tc>
        <w:tc>
          <w:tcPr>
            <w:tcW w:w="1597" w:type="pct"/>
          </w:tcPr>
          <w:p w:rsidR="00106A2A" w:rsidRPr="00106A2A" w:rsidRDefault="00106A2A" w:rsidP="00106A2A">
            <w:pPr>
              <w:widowControl/>
              <w:spacing w:line="360" w:lineRule="auto"/>
              <w:jc w:val="right"/>
              <w:rPr>
                <w:b/>
                <w:bCs/>
                <w:i/>
                <w:iCs/>
              </w:rPr>
            </w:pPr>
            <w:r w:rsidRPr="00106A2A">
              <w:rPr>
                <w:b/>
                <w:i/>
              </w:rPr>
              <w:t xml:space="preserve"> 336 324 616 </w:t>
            </w:r>
          </w:p>
        </w:tc>
      </w:tr>
      <w:tr w:rsidR="00106A2A" w:rsidRPr="00106A2A" w:rsidTr="006919B6">
        <w:trPr>
          <w:trHeight w:val="340"/>
          <w:tblHeader/>
        </w:trPr>
        <w:tc>
          <w:tcPr>
            <w:tcW w:w="1021" w:type="pct"/>
            <w:vAlign w:val="center"/>
          </w:tcPr>
          <w:p w:rsidR="00106A2A" w:rsidRPr="00106A2A" w:rsidRDefault="00106A2A" w:rsidP="00106A2A">
            <w:pPr>
              <w:widowControl/>
              <w:spacing w:line="360" w:lineRule="auto"/>
              <w:jc w:val="center"/>
            </w:pPr>
            <w:r w:rsidRPr="00106A2A">
              <w:t>ЕС-27</w:t>
            </w:r>
          </w:p>
        </w:tc>
        <w:tc>
          <w:tcPr>
            <w:tcW w:w="786" w:type="pct"/>
            <w:shd w:val="clear" w:color="auto" w:fill="auto"/>
            <w:vAlign w:val="bottom"/>
          </w:tcPr>
          <w:p w:rsidR="00106A2A" w:rsidRPr="00106A2A" w:rsidRDefault="00106A2A" w:rsidP="00106A2A">
            <w:pPr>
              <w:widowControl/>
              <w:spacing w:line="360" w:lineRule="auto"/>
              <w:jc w:val="right"/>
            </w:pPr>
            <w:r w:rsidRPr="00106A2A">
              <w:t>100%</w:t>
            </w:r>
          </w:p>
        </w:tc>
        <w:tc>
          <w:tcPr>
            <w:tcW w:w="1596" w:type="pct"/>
            <w:shd w:val="clear" w:color="auto" w:fill="auto"/>
            <w:vAlign w:val="bottom"/>
          </w:tcPr>
          <w:p w:rsidR="00106A2A" w:rsidRPr="00106A2A" w:rsidRDefault="00106A2A" w:rsidP="00106A2A">
            <w:pPr>
              <w:widowControl/>
              <w:spacing w:line="360" w:lineRule="auto"/>
              <w:jc w:val="right"/>
              <w:rPr>
                <w:b/>
                <w:bCs/>
                <w:i/>
                <w:iCs/>
              </w:rPr>
            </w:pPr>
            <w:r w:rsidRPr="00106A2A">
              <w:rPr>
                <w:b/>
                <w:i/>
              </w:rPr>
              <w:t>65 000 000 000</w:t>
            </w:r>
          </w:p>
        </w:tc>
        <w:tc>
          <w:tcPr>
            <w:tcW w:w="1597" w:type="pct"/>
          </w:tcPr>
          <w:p w:rsidR="00106A2A" w:rsidRPr="00106A2A" w:rsidRDefault="00106A2A" w:rsidP="00106A2A">
            <w:pPr>
              <w:widowControl/>
              <w:spacing w:line="360" w:lineRule="auto"/>
              <w:jc w:val="right"/>
              <w:rPr>
                <w:b/>
                <w:bCs/>
                <w:i/>
                <w:iCs/>
              </w:rPr>
            </w:pPr>
            <w:r w:rsidRPr="00106A2A">
              <w:rPr>
                <w:b/>
                <w:i/>
              </w:rPr>
              <w:t>54 600 000 000</w:t>
            </w:r>
          </w:p>
        </w:tc>
      </w:tr>
    </w:tbl>
    <w:p w:rsidR="00106A2A" w:rsidRPr="00106A2A" w:rsidRDefault="00106A2A" w:rsidP="00106A2A">
      <w:pPr>
        <w:widowControl/>
        <w:spacing w:before="120" w:after="120"/>
        <w:rPr>
          <w:rFonts w:eastAsia="Calibri"/>
          <w:b/>
          <w:u w:val="single"/>
          <w:lang w:eastAsia="en-US"/>
        </w:rPr>
      </w:pPr>
    </w:p>
    <w:p w:rsidR="00106A2A" w:rsidRPr="00106A2A" w:rsidRDefault="00106A2A" w:rsidP="00106A2A">
      <w:pPr>
        <w:widowControl/>
        <w:spacing w:before="120" w:after="120"/>
        <w:jc w:val="both"/>
        <w:rPr>
          <w:rFonts w:eastAsia="Calibri"/>
          <w:b/>
          <w:u w:val="single"/>
          <w:lang w:eastAsia="en-US"/>
        </w:rPr>
      </w:pPr>
    </w:p>
    <w:p w:rsidR="00106A2A" w:rsidRPr="00106A2A" w:rsidRDefault="00106A2A" w:rsidP="00106A2A">
      <w:pPr>
        <w:widowControl/>
        <w:spacing w:before="120" w:after="120" w:line="360" w:lineRule="auto"/>
        <w:jc w:val="both"/>
        <w:rPr>
          <w:rFonts w:eastAsia="Calibri"/>
          <w:lang w:eastAsia="en-US"/>
        </w:rPr>
      </w:pPr>
    </w:p>
    <w:p w:rsidR="00106A2A" w:rsidRPr="00106A2A" w:rsidRDefault="00106A2A" w:rsidP="00106A2A">
      <w:pPr>
        <w:widowControl/>
        <w:spacing w:before="120" w:after="120" w:line="360" w:lineRule="auto"/>
        <w:jc w:val="both"/>
        <w:rPr>
          <w:rFonts w:eastAsia="Calibri"/>
          <w:lang w:eastAsia="en-US"/>
        </w:rPr>
        <w:sectPr w:rsidR="00106A2A" w:rsidRPr="00106A2A" w:rsidSect="00056D1A">
          <w:footnotePr>
            <w:numRestart w:val="eachPage"/>
          </w:footnotePr>
          <w:pgSz w:w="11906" w:h="16838"/>
          <w:pgMar w:top="1134" w:right="1134" w:bottom="1134" w:left="1134" w:header="567" w:footer="567" w:gutter="0"/>
          <w:cols w:space="708"/>
          <w:docGrid w:linePitch="360"/>
        </w:sectPr>
      </w:pPr>
    </w:p>
    <w:p w:rsidR="00106A2A" w:rsidRPr="00106A2A" w:rsidRDefault="00106A2A" w:rsidP="00106A2A">
      <w:pPr>
        <w:pageBreakBefore/>
        <w:tabs>
          <w:tab w:val="left" w:pos="709"/>
        </w:tabs>
        <w:spacing w:before="120" w:after="120" w:line="360" w:lineRule="auto"/>
        <w:jc w:val="center"/>
        <w:rPr>
          <w:b/>
          <w:lang w:eastAsia="en-US"/>
        </w:rPr>
      </w:pPr>
      <w:r w:rsidRPr="00106A2A">
        <w:rPr>
          <w:rFonts w:eastAsia="Calibri"/>
          <w:b/>
          <w:lang w:eastAsia="en-US"/>
        </w:rPr>
        <w:t>ПРИЛОЖЕНИЕ ІІІ</w:t>
      </w:r>
    </w:p>
    <w:p w:rsidR="00106A2A" w:rsidRPr="00106A2A" w:rsidRDefault="00106A2A" w:rsidP="00106A2A">
      <w:pPr>
        <w:tabs>
          <w:tab w:val="left" w:pos="709"/>
        </w:tabs>
        <w:spacing w:before="240" w:line="360" w:lineRule="auto"/>
        <w:jc w:val="center"/>
        <w:rPr>
          <w:b/>
          <w:shd w:val="clear" w:color="auto" w:fill="FFFFFF"/>
          <w:lang w:eastAsia="en-US"/>
        </w:rPr>
      </w:pPr>
      <w:r w:rsidRPr="00106A2A">
        <w:rPr>
          <w:rFonts w:eastAsia="Calibri"/>
          <w:b/>
          <w:shd w:val="clear" w:color="auto" w:fill="FFFFFF"/>
          <w:lang w:eastAsia="en-US"/>
        </w:rPr>
        <w:t>Основни изисквания относно системата за вътрешен контрол на държавата членка</w:t>
      </w:r>
    </w:p>
    <w:p w:rsidR="00106A2A" w:rsidRPr="00106A2A" w:rsidRDefault="00106A2A" w:rsidP="00106A2A">
      <w:pPr>
        <w:tabs>
          <w:tab w:val="left" w:pos="567"/>
        </w:tabs>
        <w:spacing w:before="120" w:after="160" w:line="360" w:lineRule="auto"/>
        <w:ind w:left="567" w:hanging="567"/>
        <w:rPr>
          <w:lang w:eastAsia="en-US"/>
        </w:rPr>
      </w:pPr>
      <w:r w:rsidRPr="00106A2A">
        <w:rPr>
          <w:rFonts w:eastAsia="Calibri"/>
          <w:lang w:eastAsia="en-US"/>
        </w:rPr>
        <w:t xml:space="preserve">1. </w:t>
      </w:r>
      <w:r w:rsidRPr="00106A2A">
        <w:rPr>
          <w:rFonts w:eastAsia="Calibri"/>
          <w:lang w:eastAsia="en-US"/>
        </w:rPr>
        <w:tab/>
        <w:t xml:space="preserve">Държавата членка осигурява ефективна и ефикасна система за вътрешен контрол </w:t>
      </w:r>
      <w:r w:rsidRPr="00106A2A">
        <w:rPr>
          <w:rFonts w:eastAsia="Calibri"/>
          <w:b/>
          <w:i/>
          <w:lang w:eastAsia="en-US"/>
        </w:rPr>
        <w:t>в съответствие със своята институционална, правна и финансова рамка,</w:t>
      </w:r>
      <w:r w:rsidRPr="00106A2A">
        <w:rPr>
          <w:rFonts w:eastAsia="Calibri"/>
          <w:lang w:eastAsia="en-US"/>
        </w:rPr>
        <w:t xml:space="preserve"> включително разделяне на функциите и правила за отчитане, надзор и контрол.</w:t>
      </w:r>
    </w:p>
    <w:p w:rsidR="00106A2A" w:rsidRPr="00106A2A" w:rsidRDefault="00106A2A" w:rsidP="00106A2A">
      <w:pPr>
        <w:tabs>
          <w:tab w:val="left" w:pos="709"/>
        </w:tabs>
        <w:spacing w:before="120" w:line="360" w:lineRule="auto"/>
        <w:ind w:left="1134" w:hanging="567"/>
        <w:rPr>
          <w:rFonts w:eastAsia="Calibri"/>
          <w:lang w:eastAsia="en-US"/>
        </w:rPr>
      </w:pPr>
      <w:r w:rsidRPr="00106A2A">
        <w:rPr>
          <w:rFonts w:eastAsia="Calibri"/>
          <w:lang w:eastAsia="en-US"/>
        </w:rPr>
        <w:t>Това включва:</w:t>
      </w:r>
    </w:p>
    <w:p w:rsidR="00106A2A" w:rsidRPr="00106A2A" w:rsidRDefault="00106A2A" w:rsidP="00106A2A">
      <w:pPr>
        <w:tabs>
          <w:tab w:val="left" w:pos="709"/>
        </w:tabs>
        <w:spacing w:before="120" w:line="360" w:lineRule="auto"/>
        <w:ind w:left="1134" w:hanging="567"/>
        <w:rPr>
          <w:lang w:eastAsia="en-US"/>
        </w:rPr>
      </w:pPr>
      <w:r w:rsidRPr="00106A2A">
        <w:rPr>
          <w:rFonts w:eastAsia="Calibri"/>
          <w:b/>
          <w:lang w:eastAsia="en-US"/>
        </w:rPr>
        <w:t>▌</w:t>
      </w:r>
    </w:p>
    <w:p w:rsidR="00106A2A" w:rsidRPr="00106A2A" w:rsidRDefault="00106A2A" w:rsidP="00106A2A">
      <w:pPr>
        <w:spacing w:before="120" w:after="160" w:line="360" w:lineRule="auto"/>
        <w:ind w:left="1134" w:hanging="567"/>
        <w:rPr>
          <w:lang w:eastAsia="en-US"/>
        </w:rPr>
      </w:pPr>
      <w:r w:rsidRPr="00106A2A">
        <w:rPr>
          <w:rFonts w:eastAsia="Calibri"/>
          <w:lang w:eastAsia="en-US"/>
        </w:rPr>
        <w:t xml:space="preserve">а) </w:t>
      </w:r>
      <w:r w:rsidRPr="00106A2A">
        <w:rPr>
          <w:rFonts w:eastAsia="Calibri"/>
          <w:lang w:eastAsia="en-US"/>
        </w:rPr>
        <w:tab/>
        <w:t xml:space="preserve">определяне на органите, на които е възложено изпълнението на плана и разпределението на съответните </w:t>
      </w:r>
      <w:r w:rsidRPr="00106A2A">
        <w:rPr>
          <w:rFonts w:eastAsia="Calibri"/>
          <w:b/>
          <w:i/>
          <w:lang w:eastAsia="en-US"/>
        </w:rPr>
        <w:t>отговорности и</w:t>
      </w:r>
      <w:r w:rsidRPr="00106A2A">
        <w:rPr>
          <w:rFonts w:eastAsia="Calibri"/>
          <w:lang w:eastAsia="en-US"/>
        </w:rPr>
        <w:t xml:space="preserve"> функции;</w:t>
      </w:r>
    </w:p>
    <w:p w:rsidR="00106A2A" w:rsidRPr="00106A2A" w:rsidRDefault="00106A2A" w:rsidP="00106A2A">
      <w:pPr>
        <w:spacing w:before="120" w:after="160" w:line="360" w:lineRule="auto"/>
        <w:ind w:left="1134" w:hanging="567"/>
        <w:rPr>
          <w:lang w:eastAsia="en-US"/>
        </w:rPr>
      </w:pPr>
      <w:r w:rsidRPr="00106A2A">
        <w:rPr>
          <w:rFonts w:eastAsia="Calibri"/>
          <w:lang w:eastAsia="en-US"/>
        </w:rPr>
        <w:t xml:space="preserve">б) </w:t>
      </w:r>
      <w:r w:rsidRPr="00106A2A">
        <w:rPr>
          <w:rFonts w:eastAsia="Calibri"/>
          <w:lang w:eastAsia="en-US"/>
        </w:rPr>
        <w:tab/>
        <w:t xml:space="preserve">определяне на органа </w:t>
      </w:r>
      <w:r w:rsidRPr="00106A2A">
        <w:rPr>
          <w:rFonts w:eastAsia="Calibri"/>
          <w:b/>
          <w:i/>
          <w:lang w:eastAsia="en-US"/>
        </w:rPr>
        <w:t>или органите,</w:t>
      </w:r>
      <w:r w:rsidRPr="00106A2A">
        <w:rPr>
          <w:rFonts w:eastAsia="Calibri"/>
          <w:lang w:eastAsia="en-US"/>
        </w:rPr>
        <w:t xml:space="preserve"> които отговарят за подписването на декларация за управлението, придружаваща исканията за плащане;</w:t>
      </w:r>
    </w:p>
    <w:p w:rsidR="00106A2A" w:rsidRPr="00106A2A" w:rsidRDefault="00106A2A" w:rsidP="00106A2A">
      <w:pPr>
        <w:spacing w:before="120" w:after="160" w:line="360" w:lineRule="auto"/>
        <w:ind w:left="1134" w:hanging="567"/>
        <w:rPr>
          <w:lang w:eastAsia="en-US"/>
        </w:rPr>
      </w:pPr>
      <w:r w:rsidRPr="00106A2A">
        <w:rPr>
          <w:rFonts w:eastAsia="Calibri"/>
          <w:lang w:eastAsia="en-US"/>
        </w:rPr>
        <w:t xml:space="preserve">в) </w:t>
      </w:r>
      <w:r w:rsidRPr="00106A2A">
        <w:rPr>
          <w:rFonts w:eastAsia="Calibri"/>
          <w:lang w:eastAsia="en-US"/>
        </w:rPr>
        <w:tab/>
        <w:t xml:space="preserve">процедури, гарантиращи, че този орган </w:t>
      </w:r>
      <w:r w:rsidRPr="00106A2A">
        <w:rPr>
          <w:rFonts w:eastAsia="Calibri"/>
          <w:b/>
          <w:i/>
          <w:lang w:eastAsia="en-US"/>
        </w:rPr>
        <w:t>или тези органи</w:t>
      </w:r>
      <w:r w:rsidRPr="00106A2A">
        <w:rPr>
          <w:rFonts w:eastAsia="Calibri"/>
          <w:lang w:eastAsia="en-US"/>
        </w:rPr>
        <w:t xml:space="preserve"> ще се уверят, че са постигнати заложените в плана  междинни цели и целеви стойности и че средствата са били управлявани в съответствие с всички приложими правила, и по</w:t>
      </w:r>
      <w:r w:rsidRPr="00106A2A">
        <w:rPr>
          <w:rFonts w:eastAsia="Calibri"/>
          <w:lang w:eastAsia="en-US"/>
        </w:rPr>
        <w:noBreakHyphen/>
        <w:t>специално правилата относно избягването на конфликти на интереси и предотвратяването на измами, корупция и двойно финансиране;</w:t>
      </w:r>
    </w:p>
    <w:p w:rsidR="00106A2A" w:rsidRPr="00106A2A" w:rsidRDefault="00106A2A" w:rsidP="00106A2A">
      <w:pPr>
        <w:spacing w:before="120" w:after="160" w:line="360" w:lineRule="auto"/>
        <w:ind w:left="1134" w:hanging="567"/>
        <w:rPr>
          <w:lang w:eastAsia="en-US"/>
        </w:rPr>
      </w:pPr>
      <w:r w:rsidRPr="00106A2A">
        <w:rPr>
          <w:rFonts w:eastAsia="Calibri"/>
          <w:lang w:eastAsia="en-US"/>
        </w:rPr>
        <w:t xml:space="preserve">г) </w:t>
      </w:r>
      <w:r w:rsidRPr="00106A2A">
        <w:rPr>
          <w:rFonts w:eastAsia="Calibri"/>
          <w:lang w:eastAsia="en-US"/>
        </w:rPr>
        <w:tab/>
        <w:t>подходящо разделяне на съответните функции за управление и за одит.</w:t>
      </w:r>
    </w:p>
    <w:p w:rsidR="00106A2A" w:rsidRPr="00106A2A" w:rsidRDefault="00106A2A" w:rsidP="00106A2A">
      <w:pPr>
        <w:widowControl/>
        <w:spacing w:before="120" w:after="120" w:line="360" w:lineRule="auto"/>
        <w:rPr>
          <w:rFonts w:eastAsia="Calibri"/>
          <w:lang w:eastAsia="en-US"/>
        </w:rPr>
      </w:pPr>
      <w:r w:rsidRPr="00106A2A">
        <w:rPr>
          <w:rFonts w:eastAsia="Calibri"/>
          <w:lang w:eastAsia="en-US"/>
        </w:rPr>
        <w:br w:type="page"/>
      </w:r>
    </w:p>
    <w:p w:rsidR="00106A2A" w:rsidRPr="00106A2A" w:rsidRDefault="00106A2A" w:rsidP="00106A2A">
      <w:pPr>
        <w:tabs>
          <w:tab w:val="left" w:pos="567"/>
        </w:tabs>
        <w:spacing w:before="120" w:after="160" w:line="360" w:lineRule="auto"/>
        <w:ind w:left="567" w:hanging="567"/>
        <w:rPr>
          <w:lang w:eastAsia="en-US"/>
        </w:rPr>
      </w:pPr>
      <w:r w:rsidRPr="00106A2A">
        <w:rPr>
          <w:rFonts w:eastAsia="Calibri"/>
          <w:lang w:eastAsia="en-US"/>
        </w:rPr>
        <w:t>2.</w:t>
      </w:r>
      <w:r w:rsidRPr="00106A2A">
        <w:rPr>
          <w:rFonts w:eastAsia="Calibri"/>
          <w:lang w:eastAsia="en-US"/>
        </w:rPr>
        <w:tab/>
        <w:t>Държавата членка ръководи ефективното изпълнение на пропорционални мерки против измами и корупция и взема всички необходими мерки за ефективно избягване на конфликт на интереси.</w:t>
      </w:r>
    </w:p>
    <w:p w:rsidR="00106A2A" w:rsidRPr="00106A2A" w:rsidRDefault="00106A2A" w:rsidP="00106A2A">
      <w:pPr>
        <w:tabs>
          <w:tab w:val="left" w:pos="709"/>
        </w:tabs>
        <w:spacing w:before="120" w:line="360" w:lineRule="auto"/>
        <w:ind w:left="567"/>
        <w:rPr>
          <w:lang w:eastAsia="en-US"/>
        </w:rPr>
      </w:pPr>
      <w:r w:rsidRPr="00106A2A">
        <w:rPr>
          <w:rFonts w:eastAsia="Calibri"/>
          <w:lang w:eastAsia="en-US"/>
        </w:rPr>
        <w:t>Това включва:</w:t>
      </w:r>
    </w:p>
    <w:p w:rsidR="00106A2A" w:rsidRPr="00106A2A" w:rsidRDefault="00106A2A" w:rsidP="00106A2A">
      <w:pPr>
        <w:spacing w:before="120" w:after="160" w:line="360" w:lineRule="auto"/>
        <w:ind w:left="720"/>
        <w:rPr>
          <w:lang w:eastAsia="en-US"/>
        </w:rPr>
      </w:pPr>
      <w:r w:rsidRPr="00106A2A">
        <w:rPr>
          <w:rFonts w:eastAsia="Calibri"/>
          <w:lang w:eastAsia="en-US"/>
        </w:rPr>
        <w:t xml:space="preserve">а) </w:t>
      </w:r>
      <w:r w:rsidRPr="00106A2A">
        <w:rPr>
          <w:rFonts w:eastAsia="Calibri"/>
          <w:lang w:eastAsia="en-US"/>
        </w:rPr>
        <w:tab/>
        <w:t>подходящи мерки за предотвратяване, разкриване и коригиране на измами, корупция и конфликти на интереси, както и за избягване на двойно финансиране, и предприемане на действия по съдебен ред за възстановяване на незаконно присвоени средства;</w:t>
      </w:r>
    </w:p>
    <w:p w:rsidR="00106A2A" w:rsidRPr="00106A2A" w:rsidRDefault="00106A2A" w:rsidP="00106A2A">
      <w:pPr>
        <w:spacing w:before="120" w:after="160" w:line="360" w:lineRule="auto"/>
        <w:ind w:left="720"/>
        <w:rPr>
          <w:lang w:eastAsia="en-US"/>
        </w:rPr>
      </w:pPr>
      <w:r w:rsidRPr="00106A2A">
        <w:rPr>
          <w:rFonts w:eastAsia="Calibri"/>
          <w:lang w:eastAsia="en-US"/>
        </w:rPr>
        <w:t xml:space="preserve">б) </w:t>
      </w:r>
      <w:r w:rsidRPr="00106A2A">
        <w:rPr>
          <w:rFonts w:eastAsia="Calibri"/>
          <w:lang w:eastAsia="en-US"/>
        </w:rPr>
        <w:tab/>
        <w:t>оценка на риска от измами и определяне на подходящи мерки за борба с измамите.</w:t>
      </w:r>
    </w:p>
    <w:p w:rsidR="00106A2A" w:rsidRPr="00106A2A" w:rsidRDefault="00106A2A" w:rsidP="00106A2A">
      <w:pPr>
        <w:tabs>
          <w:tab w:val="left" w:pos="567"/>
        </w:tabs>
        <w:spacing w:before="120" w:after="160" w:line="360" w:lineRule="auto"/>
        <w:ind w:left="567" w:hanging="567"/>
        <w:rPr>
          <w:lang w:eastAsia="en-US"/>
        </w:rPr>
      </w:pPr>
      <w:r w:rsidRPr="00106A2A">
        <w:rPr>
          <w:rFonts w:eastAsia="Calibri"/>
          <w:lang w:eastAsia="en-US"/>
        </w:rPr>
        <w:t>3.</w:t>
      </w:r>
      <w:r w:rsidRPr="00106A2A">
        <w:rPr>
          <w:rFonts w:eastAsia="Calibri"/>
          <w:lang w:eastAsia="en-US"/>
        </w:rPr>
        <w:tab/>
        <w:t xml:space="preserve">Държавата членка поддържа подходящи процедури за изготвяне на декларацията за управление и на обобщението на одитите </w:t>
      </w:r>
      <w:r w:rsidRPr="00106A2A">
        <w:rPr>
          <w:rFonts w:eastAsia="Calibri"/>
          <w:b/>
          <w:lang w:eastAsia="en-US"/>
        </w:rPr>
        <w:t>▌</w:t>
      </w:r>
      <w:r w:rsidRPr="00106A2A">
        <w:rPr>
          <w:rFonts w:eastAsia="Calibri"/>
          <w:lang w:eastAsia="en-US"/>
        </w:rPr>
        <w:t>, извършени на национално равнище.</w:t>
      </w:r>
    </w:p>
    <w:p w:rsidR="00106A2A" w:rsidRPr="00106A2A" w:rsidRDefault="00106A2A" w:rsidP="00106A2A">
      <w:pPr>
        <w:widowControl/>
        <w:spacing w:before="120" w:after="120" w:line="360" w:lineRule="auto"/>
        <w:rPr>
          <w:rFonts w:eastAsia="Calibri"/>
          <w:u w:val="single"/>
          <w:lang w:eastAsia="en-US"/>
        </w:rPr>
      </w:pPr>
      <w:r w:rsidRPr="00106A2A">
        <w:rPr>
          <w:rFonts w:eastAsia="Calibri"/>
          <w:lang w:eastAsia="en-US"/>
        </w:rPr>
        <w:br w:type="page"/>
      </w:r>
    </w:p>
    <w:p w:rsidR="00106A2A" w:rsidRPr="00106A2A" w:rsidRDefault="00106A2A" w:rsidP="00106A2A">
      <w:pPr>
        <w:tabs>
          <w:tab w:val="left" w:pos="709"/>
        </w:tabs>
        <w:spacing w:before="120" w:line="360" w:lineRule="auto"/>
        <w:ind w:left="567"/>
        <w:rPr>
          <w:lang w:eastAsia="en-US"/>
        </w:rPr>
      </w:pPr>
      <w:r w:rsidRPr="00106A2A">
        <w:rPr>
          <w:rFonts w:eastAsia="Calibri"/>
          <w:lang w:eastAsia="en-US"/>
        </w:rPr>
        <w:t>Това включва:</w:t>
      </w:r>
    </w:p>
    <w:p w:rsidR="00106A2A" w:rsidRPr="00106A2A" w:rsidRDefault="00106A2A" w:rsidP="00106A2A">
      <w:pPr>
        <w:spacing w:before="120" w:after="160" w:line="360" w:lineRule="auto"/>
        <w:ind w:left="578"/>
        <w:rPr>
          <w:lang w:eastAsia="en-US"/>
        </w:rPr>
      </w:pPr>
      <w:r w:rsidRPr="00106A2A">
        <w:rPr>
          <w:rFonts w:eastAsia="Calibri"/>
          <w:lang w:eastAsia="en-US"/>
        </w:rPr>
        <w:t xml:space="preserve">а) </w:t>
      </w:r>
      <w:r w:rsidRPr="00106A2A">
        <w:rPr>
          <w:rFonts w:eastAsia="Calibri"/>
          <w:lang w:eastAsia="en-US"/>
        </w:rPr>
        <w:tab/>
        <w:t xml:space="preserve">ефективна процедура за изготвяне на декларацията за управление, документиране на обобщените резултати от одитите и </w:t>
      </w:r>
      <w:r w:rsidRPr="00106A2A">
        <w:rPr>
          <w:rFonts w:eastAsia="Calibri"/>
          <w:b/>
          <w:lang w:eastAsia="en-US"/>
        </w:rPr>
        <w:t>▌</w:t>
      </w:r>
      <w:r w:rsidRPr="00106A2A">
        <w:rPr>
          <w:rFonts w:eastAsia="Calibri"/>
          <w:lang w:eastAsia="en-US"/>
        </w:rPr>
        <w:t xml:space="preserve"> поддържане на необходимата информация за одитна следа;</w:t>
      </w:r>
    </w:p>
    <w:p w:rsidR="00106A2A" w:rsidRPr="00106A2A" w:rsidRDefault="00106A2A" w:rsidP="00106A2A">
      <w:pPr>
        <w:spacing w:before="120" w:after="160" w:line="360" w:lineRule="auto"/>
        <w:ind w:left="578"/>
        <w:jc w:val="both"/>
        <w:rPr>
          <w:lang w:eastAsia="en-US"/>
        </w:rPr>
      </w:pPr>
      <w:r w:rsidRPr="00106A2A">
        <w:rPr>
          <w:rFonts w:eastAsia="Calibri"/>
          <w:lang w:eastAsia="en-US"/>
        </w:rPr>
        <w:t xml:space="preserve">б) </w:t>
      </w:r>
      <w:r w:rsidRPr="00106A2A">
        <w:rPr>
          <w:rFonts w:eastAsia="Calibri"/>
          <w:lang w:eastAsia="en-US"/>
        </w:rPr>
        <w:tab/>
        <w:t>ефективни процедури, гарантиращи надлежно докладване за всички случаи на измами, корупция и конфликт на интереси и за тяхното коригиране чрез възстановяване на сумите.</w:t>
      </w:r>
    </w:p>
    <w:p w:rsidR="00106A2A" w:rsidRPr="00106A2A" w:rsidRDefault="00106A2A" w:rsidP="00106A2A">
      <w:pPr>
        <w:spacing w:before="120" w:after="120" w:line="360" w:lineRule="auto"/>
        <w:ind w:left="567" w:hanging="567"/>
        <w:rPr>
          <w:lang w:eastAsia="en-US"/>
        </w:rPr>
      </w:pPr>
      <w:r w:rsidRPr="00106A2A">
        <w:rPr>
          <w:rFonts w:eastAsia="Calibri"/>
          <w:lang w:eastAsia="en-US"/>
        </w:rPr>
        <w:t>4.</w:t>
      </w:r>
      <w:r w:rsidRPr="00106A2A">
        <w:rPr>
          <w:rFonts w:eastAsia="Calibri"/>
          <w:lang w:eastAsia="en-US"/>
        </w:rPr>
        <w:tab/>
        <w:t>За да набави необходимата информация, държавата членка осигурява подходящи проверки на управлението, включително процедури за проверка на постигането на междинните цели и целевите стойности и спазването на хоризонталните принципи за разумно финансово управление.</w:t>
      </w:r>
    </w:p>
    <w:p w:rsidR="00106A2A" w:rsidRPr="00106A2A" w:rsidRDefault="00106A2A" w:rsidP="00106A2A">
      <w:pPr>
        <w:tabs>
          <w:tab w:val="left" w:pos="709"/>
        </w:tabs>
        <w:spacing w:before="120" w:line="360" w:lineRule="auto"/>
        <w:ind w:left="567"/>
        <w:rPr>
          <w:lang w:eastAsia="en-US"/>
        </w:rPr>
      </w:pPr>
      <w:r w:rsidRPr="00106A2A">
        <w:rPr>
          <w:rFonts w:eastAsia="Calibri"/>
          <w:lang w:eastAsia="en-US"/>
        </w:rPr>
        <w:t>Това включва:</w:t>
      </w:r>
    </w:p>
    <w:p w:rsidR="00106A2A" w:rsidRPr="00106A2A" w:rsidRDefault="00106A2A" w:rsidP="00106A2A">
      <w:pPr>
        <w:spacing w:before="120" w:after="160" w:line="360" w:lineRule="auto"/>
        <w:ind w:left="578"/>
        <w:rPr>
          <w:lang w:eastAsia="en-US"/>
        </w:rPr>
      </w:pPr>
      <w:r w:rsidRPr="00106A2A">
        <w:rPr>
          <w:rFonts w:eastAsia="Calibri"/>
          <w:lang w:eastAsia="en-US"/>
        </w:rPr>
        <w:t xml:space="preserve">а) </w:t>
      </w:r>
      <w:r w:rsidRPr="00106A2A">
        <w:rPr>
          <w:rFonts w:eastAsia="Calibri"/>
          <w:lang w:eastAsia="en-US"/>
        </w:rPr>
        <w:tab/>
        <w:t>подходящи проверки на управлението, чрез които изпълняващите органи проверяват постигането на междинните цели и целевите стойности на Фонда (например документни проверки, проверки на място);</w:t>
      </w:r>
    </w:p>
    <w:p w:rsidR="00106A2A" w:rsidRPr="00106A2A" w:rsidRDefault="00106A2A" w:rsidP="00106A2A">
      <w:pPr>
        <w:spacing w:before="120" w:after="160" w:line="360" w:lineRule="auto"/>
        <w:ind w:left="578"/>
        <w:rPr>
          <w:lang w:eastAsia="en-US"/>
        </w:rPr>
      </w:pPr>
      <w:r w:rsidRPr="00106A2A">
        <w:rPr>
          <w:rFonts w:eastAsia="Calibri"/>
          <w:lang w:eastAsia="en-US"/>
        </w:rPr>
        <w:t xml:space="preserve">б) </w:t>
      </w:r>
      <w:r w:rsidRPr="00106A2A">
        <w:rPr>
          <w:rFonts w:eastAsia="Calibri"/>
          <w:lang w:eastAsia="en-US"/>
        </w:rPr>
        <w:tab/>
        <w:t>подходящи проверки на управлението, чрез които изпълняващите органи да се уверят, че липсват сериозни нередности, а именно измами, корупция и конфликт на интереси, както и двойно финансиране (например документни проверки, проверки на място).</w:t>
      </w:r>
    </w:p>
    <w:p w:rsidR="00106A2A" w:rsidRPr="00106A2A" w:rsidRDefault="00106A2A" w:rsidP="00106A2A">
      <w:pPr>
        <w:widowControl/>
        <w:spacing w:before="120" w:after="120" w:line="360" w:lineRule="auto"/>
        <w:rPr>
          <w:rFonts w:eastAsia="Calibri"/>
          <w:lang w:eastAsia="en-US"/>
        </w:rPr>
      </w:pPr>
    </w:p>
    <w:p w:rsidR="00106A2A" w:rsidRPr="00106A2A" w:rsidRDefault="00106A2A" w:rsidP="00106A2A">
      <w:pPr>
        <w:spacing w:before="120" w:after="120" w:line="360" w:lineRule="auto"/>
        <w:ind w:left="567" w:hanging="567"/>
        <w:rPr>
          <w:lang w:eastAsia="en-US"/>
        </w:rPr>
      </w:pPr>
      <w:r w:rsidRPr="00106A2A">
        <w:rPr>
          <w:rFonts w:eastAsia="Calibri"/>
          <w:b/>
          <w:i/>
          <w:lang w:eastAsia="en-US"/>
        </w:rPr>
        <w:br w:type="page"/>
      </w:r>
      <w:r w:rsidRPr="00106A2A">
        <w:rPr>
          <w:rFonts w:eastAsia="Calibri"/>
          <w:lang w:eastAsia="en-US"/>
        </w:rPr>
        <w:t>5.</w:t>
      </w:r>
      <w:r w:rsidRPr="00106A2A">
        <w:rPr>
          <w:rFonts w:eastAsia="Calibri"/>
          <w:lang w:eastAsia="en-US"/>
        </w:rPr>
        <w:tab/>
        <w:t>Държавата членка провежда подходящи и независими одити на системите и операциите в съответствие с международно приетите стандарти за одит.</w:t>
      </w:r>
    </w:p>
    <w:p w:rsidR="00106A2A" w:rsidRPr="00106A2A" w:rsidRDefault="00106A2A" w:rsidP="00106A2A">
      <w:pPr>
        <w:tabs>
          <w:tab w:val="left" w:pos="709"/>
        </w:tabs>
        <w:spacing w:before="120" w:line="360" w:lineRule="auto"/>
        <w:ind w:left="567"/>
        <w:rPr>
          <w:lang w:eastAsia="en-US"/>
        </w:rPr>
      </w:pPr>
      <w:r w:rsidRPr="00106A2A">
        <w:rPr>
          <w:rFonts w:eastAsia="Calibri"/>
          <w:lang w:eastAsia="en-US"/>
        </w:rPr>
        <w:t>Това включва:</w:t>
      </w:r>
    </w:p>
    <w:p w:rsidR="00106A2A" w:rsidRPr="00106A2A" w:rsidRDefault="00106A2A" w:rsidP="00106A2A">
      <w:pPr>
        <w:spacing w:before="120" w:after="160" w:line="360" w:lineRule="auto"/>
        <w:ind w:left="567"/>
        <w:jc w:val="both"/>
        <w:rPr>
          <w:lang w:eastAsia="en-US"/>
        </w:rPr>
      </w:pPr>
      <w:r w:rsidRPr="00106A2A">
        <w:rPr>
          <w:rFonts w:eastAsia="Calibri"/>
          <w:lang w:eastAsia="en-US"/>
        </w:rPr>
        <w:t xml:space="preserve">а) </w:t>
      </w:r>
      <w:r w:rsidRPr="00106A2A">
        <w:rPr>
          <w:rFonts w:eastAsia="Calibri"/>
          <w:lang w:eastAsia="en-US"/>
        </w:rPr>
        <w:tab/>
        <w:t>определяне на органа или органите, които ще извършват одити на системите и операциите, и на начина за осигуряване на функционална независимост на тези органи;</w:t>
      </w:r>
    </w:p>
    <w:p w:rsidR="00106A2A" w:rsidRPr="00106A2A" w:rsidRDefault="00106A2A" w:rsidP="00106A2A">
      <w:pPr>
        <w:spacing w:before="120" w:after="160" w:line="259" w:lineRule="auto"/>
        <w:ind w:left="567"/>
        <w:jc w:val="both"/>
        <w:rPr>
          <w:lang w:eastAsia="en-US"/>
        </w:rPr>
      </w:pPr>
      <w:r w:rsidRPr="00106A2A">
        <w:rPr>
          <w:rFonts w:eastAsia="Calibri"/>
          <w:lang w:eastAsia="en-US"/>
        </w:rPr>
        <w:t xml:space="preserve">б) </w:t>
      </w:r>
      <w:r w:rsidRPr="00106A2A">
        <w:rPr>
          <w:rFonts w:eastAsia="Calibri"/>
          <w:lang w:eastAsia="en-US"/>
        </w:rPr>
        <w:tab/>
        <w:t>отпускане на достатъчно ресурси на този орган или тези органи за целите на Фонда;</w:t>
      </w:r>
    </w:p>
    <w:p w:rsidR="00106A2A" w:rsidRPr="00106A2A" w:rsidRDefault="00106A2A" w:rsidP="00106A2A">
      <w:pPr>
        <w:spacing w:before="120" w:after="160" w:line="360" w:lineRule="auto"/>
        <w:ind w:left="567"/>
        <w:jc w:val="both"/>
        <w:rPr>
          <w:lang w:eastAsia="en-US"/>
        </w:rPr>
      </w:pPr>
      <w:r w:rsidRPr="00106A2A">
        <w:rPr>
          <w:rFonts w:eastAsia="Calibri"/>
          <w:lang w:eastAsia="en-US"/>
        </w:rPr>
        <w:t xml:space="preserve">в) </w:t>
      </w:r>
      <w:r w:rsidRPr="00106A2A">
        <w:rPr>
          <w:rFonts w:eastAsia="Calibri"/>
          <w:lang w:eastAsia="en-US"/>
        </w:rPr>
        <w:tab/>
        <w:t xml:space="preserve">ефективни действия на </w:t>
      </w:r>
      <w:r w:rsidRPr="00106A2A">
        <w:rPr>
          <w:rFonts w:eastAsia="Calibri"/>
          <w:b/>
          <w:lang w:eastAsia="en-US"/>
        </w:rPr>
        <w:t>▌</w:t>
      </w:r>
      <w:r w:rsidRPr="00106A2A">
        <w:rPr>
          <w:rFonts w:eastAsia="Calibri"/>
          <w:lang w:eastAsia="en-US"/>
        </w:rPr>
        <w:t>органа или органите за справяне с риска от измами, корупция, конфликт на интереси и двойно финансиране, както чрез одити на системите, така и чрез одити на операциите.</w:t>
      </w:r>
    </w:p>
    <w:p w:rsidR="00106A2A" w:rsidRPr="00106A2A" w:rsidRDefault="00106A2A" w:rsidP="00106A2A">
      <w:pPr>
        <w:spacing w:before="120" w:after="120" w:line="360" w:lineRule="auto"/>
        <w:ind w:left="567" w:hanging="567"/>
        <w:rPr>
          <w:lang w:eastAsia="en-US"/>
        </w:rPr>
      </w:pPr>
      <w:r w:rsidRPr="00106A2A">
        <w:rPr>
          <w:rFonts w:eastAsia="Calibri"/>
          <w:lang w:eastAsia="en-US"/>
        </w:rPr>
        <w:t xml:space="preserve">6. </w:t>
      </w:r>
      <w:r w:rsidRPr="00106A2A">
        <w:rPr>
          <w:rFonts w:eastAsia="Calibri"/>
          <w:lang w:eastAsia="en-US"/>
        </w:rPr>
        <w:tab/>
        <w:t>Държавата членка поддържа ефективна система, осигуряваща съхраняване на цялата информация и всички документи, необходими за целите на одитна следа.</w:t>
      </w:r>
    </w:p>
    <w:p w:rsidR="00106A2A" w:rsidRPr="00106A2A" w:rsidRDefault="00106A2A" w:rsidP="00106A2A">
      <w:pPr>
        <w:tabs>
          <w:tab w:val="left" w:pos="709"/>
        </w:tabs>
        <w:spacing w:before="120" w:line="360" w:lineRule="auto"/>
        <w:ind w:left="567"/>
        <w:rPr>
          <w:lang w:eastAsia="en-US"/>
        </w:rPr>
      </w:pPr>
      <w:r w:rsidRPr="00106A2A">
        <w:rPr>
          <w:rFonts w:eastAsia="Calibri"/>
          <w:lang w:eastAsia="en-US"/>
        </w:rPr>
        <w:t>Това включва:</w:t>
      </w:r>
    </w:p>
    <w:p w:rsidR="00106A2A" w:rsidRPr="00106A2A" w:rsidRDefault="00106A2A" w:rsidP="00106A2A">
      <w:pPr>
        <w:spacing w:before="120" w:after="160" w:line="360" w:lineRule="auto"/>
        <w:ind w:left="567"/>
        <w:jc w:val="both"/>
        <w:rPr>
          <w:lang w:eastAsia="en-US"/>
        </w:rPr>
      </w:pPr>
      <w:r w:rsidRPr="00106A2A">
        <w:rPr>
          <w:rFonts w:eastAsia="Calibri"/>
          <w:lang w:eastAsia="en-US"/>
        </w:rPr>
        <w:t xml:space="preserve">а) </w:t>
      </w:r>
      <w:r w:rsidRPr="00106A2A">
        <w:rPr>
          <w:rFonts w:eastAsia="Calibri"/>
          <w:lang w:eastAsia="en-US"/>
        </w:rPr>
        <w:tab/>
        <w:t>ефективно събиране, запис и съхраняване в електронна система на данните относно крайните получатели на мерките и инвестициите, необходими за постигането на междинните цели и целевите стойности;</w:t>
      </w:r>
    </w:p>
    <w:p w:rsidR="00106A2A" w:rsidRPr="00106A2A" w:rsidRDefault="00106A2A" w:rsidP="00106A2A">
      <w:pPr>
        <w:spacing w:before="120" w:after="160" w:line="360" w:lineRule="auto"/>
        <w:ind w:left="567"/>
        <w:jc w:val="both"/>
        <w:rPr>
          <w:lang w:eastAsia="en-US"/>
        </w:rPr>
      </w:pPr>
      <w:r w:rsidRPr="00106A2A">
        <w:rPr>
          <w:rFonts w:eastAsia="Calibri"/>
          <w:lang w:eastAsia="en-US"/>
        </w:rPr>
        <w:t xml:space="preserve">б) </w:t>
      </w:r>
      <w:r w:rsidRPr="00106A2A">
        <w:rPr>
          <w:rFonts w:eastAsia="Calibri"/>
          <w:lang w:eastAsia="en-US"/>
        </w:rPr>
        <w:tab/>
        <w:t xml:space="preserve">достъп за Комисията, OLAF, Европейската сметна палата и </w:t>
      </w:r>
      <w:r w:rsidRPr="00106A2A">
        <w:rPr>
          <w:rFonts w:eastAsia="Calibri"/>
          <w:b/>
          <w:lang w:eastAsia="en-US"/>
        </w:rPr>
        <w:t>▌</w:t>
      </w:r>
      <w:r w:rsidRPr="00106A2A">
        <w:rPr>
          <w:rFonts w:eastAsia="Calibri"/>
          <w:lang w:eastAsia="en-US"/>
        </w:rPr>
        <w:t xml:space="preserve"> </w:t>
      </w:r>
      <w:r w:rsidRPr="00106A2A">
        <w:rPr>
          <w:rFonts w:eastAsia="Calibri"/>
          <w:i/>
          <w:lang w:eastAsia="en-US"/>
        </w:rPr>
        <w:t xml:space="preserve">— </w:t>
      </w:r>
      <w:r w:rsidRPr="00106A2A">
        <w:rPr>
          <w:rFonts w:eastAsia="Calibri"/>
          <w:b/>
          <w:i/>
          <w:lang w:eastAsia="en-US"/>
        </w:rPr>
        <w:t>по отношение на държавите членки, участващи в засилено сътрудничество съгласно Регламент (ЕС) 2017/1939 — Европейската прокуратура,</w:t>
      </w:r>
      <w:r w:rsidRPr="00106A2A">
        <w:rPr>
          <w:rFonts w:eastAsia="Calibri"/>
          <w:lang w:eastAsia="en-US"/>
        </w:rPr>
        <w:t xml:space="preserve"> до данните относно крайните получатели.</w:t>
      </w:r>
    </w:p>
    <w:p w:rsidR="00106A2A" w:rsidRPr="00106A2A" w:rsidRDefault="00106A2A" w:rsidP="00106A2A">
      <w:pPr>
        <w:widowControl/>
        <w:spacing w:before="120" w:after="120" w:line="360" w:lineRule="auto"/>
        <w:jc w:val="both"/>
        <w:rPr>
          <w:rFonts w:eastAsia="Calibri"/>
          <w:lang w:eastAsia="en-US"/>
        </w:rPr>
        <w:sectPr w:rsidR="00106A2A" w:rsidRPr="00106A2A" w:rsidSect="00056D1A">
          <w:headerReference w:type="even" r:id="rId19"/>
          <w:footerReference w:type="even" r:id="rId20"/>
          <w:headerReference w:type="first" r:id="rId21"/>
          <w:footerReference w:type="first" r:id="rId22"/>
          <w:footnotePr>
            <w:numRestart w:val="eachPage"/>
          </w:footnotePr>
          <w:pgSz w:w="11906" w:h="16838"/>
          <w:pgMar w:top="1134" w:right="1134" w:bottom="1134" w:left="1134" w:header="567" w:footer="567" w:gutter="0"/>
          <w:cols w:space="720"/>
          <w:docGrid w:linePitch="360"/>
        </w:sectPr>
      </w:pPr>
    </w:p>
    <w:p w:rsidR="00106A2A" w:rsidRPr="00106A2A" w:rsidRDefault="00106A2A" w:rsidP="00106A2A">
      <w:pPr>
        <w:widowControl/>
        <w:spacing w:before="120" w:after="160" w:line="259" w:lineRule="auto"/>
        <w:jc w:val="center"/>
        <w:rPr>
          <w:rFonts w:eastAsia="Calibri"/>
          <w:b/>
          <w:bCs/>
          <w:i/>
          <w:iCs/>
          <w:lang w:eastAsia="en-US"/>
        </w:rPr>
      </w:pPr>
      <w:r w:rsidRPr="00106A2A">
        <w:rPr>
          <w:rFonts w:eastAsia="Calibri"/>
          <w:b/>
          <w:i/>
          <w:lang w:eastAsia="en-US"/>
        </w:rPr>
        <w:t>ПРИЛОЖЕНИЕ IV</w:t>
      </w:r>
    </w:p>
    <w:p w:rsidR="00106A2A" w:rsidRPr="00106A2A" w:rsidRDefault="00106A2A" w:rsidP="00106A2A">
      <w:pPr>
        <w:widowControl/>
        <w:spacing w:before="120" w:after="160" w:line="360" w:lineRule="auto"/>
        <w:contextualSpacing/>
        <w:rPr>
          <w:rFonts w:eastAsia="Calibri"/>
          <w:b/>
          <w:bCs/>
          <w:i/>
          <w:iCs/>
          <w:lang w:eastAsia="en-US"/>
        </w:rPr>
      </w:pPr>
      <w:r w:rsidRPr="00106A2A">
        <w:rPr>
          <w:rFonts w:eastAsia="Calibri"/>
          <w:b/>
          <w:i/>
          <w:lang w:eastAsia="en-US"/>
        </w:rPr>
        <w:t>Общи показатели за индикативните междинни цели и целеви стойности за социалните планове за климата на държавите членки, посочени в член 6, параграф 1, буква м),</w:t>
      </w:r>
      <w:bookmarkStart w:id="2" w:name="DQCErrorScopee80c3111b1cd4e1e94a130f6162"/>
      <w:r w:rsidRPr="00106A2A">
        <w:rPr>
          <w:rFonts w:eastAsia="Calibri"/>
          <w:b/>
          <w:i/>
          <w:lang w:eastAsia="en-US"/>
        </w:rPr>
        <w:br/>
      </w:r>
      <w:bookmarkEnd w:id="2"/>
      <w:r w:rsidRPr="00106A2A">
        <w:rPr>
          <w:rFonts w:eastAsia="Calibri"/>
          <w:b/>
          <w:i/>
          <w:lang w:eastAsia="en-US"/>
        </w:rPr>
        <w:t>извършване на мониторинг от държавата членка на изпълнението на нейния план, посочен в член 24, параграф 1, и оценка от Комисията на напредъка по отношение на целите на Фонда, посочена в член 24, параграф 4</w:t>
      </w:r>
    </w:p>
    <w:p w:rsidR="00106A2A" w:rsidRPr="00106A2A" w:rsidRDefault="00106A2A" w:rsidP="00106A2A">
      <w:pPr>
        <w:widowControl/>
        <w:spacing w:before="120" w:after="160" w:line="360" w:lineRule="auto"/>
        <w:contextualSpacing/>
        <w:rPr>
          <w:rFonts w:eastAsia="Calibri"/>
          <w:b/>
          <w:bCs/>
          <w:i/>
          <w:iCs/>
          <w:lang w:eastAsia="en-US"/>
        </w:rPr>
      </w:pPr>
      <w:r w:rsidRPr="00106A2A">
        <w:rPr>
          <w:rFonts w:eastAsia="Calibri"/>
          <w:b/>
          <w:i/>
          <w:lang w:eastAsia="en-US"/>
        </w:rPr>
        <w:t>Мерките и инвестициите могат да допринесат за повече от един общ показател. Ако планът дадена държава членка не съдържа мярка или инвестиция, допринасяща за някои от показателите, държавата членка може да посочи „неприложимо“.</w:t>
      </w:r>
    </w:p>
    <w:p w:rsidR="00106A2A" w:rsidRPr="00106A2A" w:rsidRDefault="00106A2A" w:rsidP="00106A2A">
      <w:pPr>
        <w:widowControl/>
        <w:spacing w:before="120" w:after="160" w:line="360" w:lineRule="auto"/>
        <w:jc w:val="both"/>
        <w:rPr>
          <w:rFonts w:eastAsia="Calibri"/>
          <w:b/>
          <w:bCs/>
          <w:i/>
          <w:iCs/>
          <w:lang w:eastAsia="en-US"/>
        </w:rPr>
      </w:pPr>
    </w:p>
    <w:tbl>
      <w:tblPr>
        <w:tblStyle w:val="TableGrid1"/>
        <w:tblW w:w="5043" w:type="pct"/>
        <w:tblInd w:w="-34" w:type="dxa"/>
        <w:tblLook w:val="04A0" w:firstRow="1" w:lastRow="0" w:firstColumn="1" w:lastColumn="0" w:noHBand="0" w:noVBand="1"/>
      </w:tblPr>
      <w:tblGrid>
        <w:gridCol w:w="821"/>
        <w:gridCol w:w="664"/>
        <w:gridCol w:w="305"/>
        <w:gridCol w:w="4353"/>
        <w:gridCol w:w="670"/>
        <w:gridCol w:w="4635"/>
        <w:gridCol w:w="629"/>
        <w:gridCol w:w="2212"/>
        <w:gridCol w:w="396"/>
      </w:tblGrid>
      <w:tr w:rsidR="00106A2A" w:rsidRPr="00106A2A" w:rsidTr="006919B6">
        <w:trPr>
          <w:trHeight w:val="400"/>
        </w:trPr>
        <w:tc>
          <w:tcPr>
            <w:tcW w:w="506" w:type="pct"/>
            <w:gridSpan w:val="2"/>
            <w:shd w:val="clear" w:color="auto" w:fill="D9D9D9"/>
          </w:tcPr>
          <w:p w:rsidR="00106A2A" w:rsidRPr="00106A2A" w:rsidRDefault="00106A2A" w:rsidP="00106A2A">
            <w:pPr>
              <w:widowControl/>
              <w:jc w:val="both"/>
              <w:rPr>
                <w:b/>
                <w:bCs/>
                <w:i/>
                <w:iCs/>
              </w:rPr>
            </w:pPr>
            <w:r w:rsidRPr="00106A2A">
              <w:rPr>
                <w:b/>
                <w:i/>
              </w:rPr>
              <w:t xml:space="preserve">Номер </w:t>
            </w:r>
          </w:p>
        </w:tc>
        <w:tc>
          <w:tcPr>
            <w:tcW w:w="1586" w:type="pct"/>
            <w:gridSpan w:val="2"/>
            <w:shd w:val="clear" w:color="auto" w:fill="D9D9D9"/>
          </w:tcPr>
          <w:p w:rsidR="00106A2A" w:rsidRPr="00106A2A" w:rsidRDefault="00106A2A" w:rsidP="00106A2A">
            <w:pPr>
              <w:widowControl/>
              <w:jc w:val="both"/>
              <w:rPr>
                <w:b/>
                <w:bCs/>
                <w:i/>
                <w:iCs/>
              </w:rPr>
            </w:pPr>
            <w:r w:rsidRPr="00106A2A">
              <w:rPr>
                <w:b/>
                <w:i/>
              </w:rPr>
              <w:t>Общ показател, свързан с подкрепа от Фонда</w:t>
            </w:r>
          </w:p>
        </w:tc>
        <w:tc>
          <w:tcPr>
            <w:tcW w:w="1806" w:type="pct"/>
            <w:gridSpan w:val="2"/>
            <w:shd w:val="clear" w:color="auto" w:fill="D9D9D9"/>
          </w:tcPr>
          <w:p w:rsidR="00106A2A" w:rsidRPr="00106A2A" w:rsidRDefault="00106A2A" w:rsidP="00106A2A">
            <w:pPr>
              <w:widowControl/>
              <w:jc w:val="both"/>
              <w:rPr>
                <w:b/>
                <w:bCs/>
                <w:i/>
                <w:iCs/>
              </w:rPr>
            </w:pPr>
            <w:r w:rsidRPr="00106A2A">
              <w:rPr>
                <w:b/>
                <w:i/>
              </w:rPr>
              <w:t>Обяснение</w:t>
            </w:r>
          </w:p>
        </w:tc>
        <w:tc>
          <w:tcPr>
            <w:tcW w:w="1102" w:type="pct"/>
            <w:gridSpan w:val="3"/>
            <w:shd w:val="clear" w:color="auto" w:fill="D9D9D9"/>
          </w:tcPr>
          <w:p w:rsidR="00106A2A" w:rsidRPr="00106A2A" w:rsidRDefault="00106A2A" w:rsidP="00106A2A">
            <w:pPr>
              <w:widowControl/>
              <w:jc w:val="both"/>
              <w:rPr>
                <w:b/>
                <w:bCs/>
                <w:i/>
                <w:iCs/>
              </w:rPr>
            </w:pPr>
            <w:r w:rsidRPr="00106A2A">
              <w:rPr>
                <w:b/>
                <w:i/>
              </w:rPr>
              <w:t>Единица</w:t>
            </w:r>
          </w:p>
        </w:tc>
      </w:tr>
      <w:tr w:rsidR="00106A2A" w:rsidRPr="00106A2A" w:rsidTr="006919B6">
        <w:trPr>
          <w:trHeight w:val="567"/>
        </w:trPr>
        <w:tc>
          <w:tcPr>
            <w:tcW w:w="5000" w:type="pct"/>
            <w:gridSpan w:val="9"/>
            <w:shd w:val="clear" w:color="auto" w:fill="D9D9D9"/>
            <w:vAlign w:val="center"/>
          </w:tcPr>
          <w:p w:rsidR="00106A2A" w:rsidRPr="00106A2A" w:rsidRDefault="00106A2A" w:rsidP="00106A2A">
            <w:pPr>
              <w:widowControl/>
              <w:rPr>
                <w:b/>
                <w:bCs/>
                <w:i/>
                <w:iCs/>
              </w:rPr>
            </w:pPr>
            <w:r w:rsidRPr="00106A2A">
              <w:rPr>
                <w:b/>
                <w:i/>
              </w:rPr>
              <w:t>Сектор „Сгради“</w:t>
            </w:r>
          </w:p>
        </w:tc>
      </w:tr>
      <w:tr w:rsidR="00106A2A" w:rsidRPr="00106A2A" w:rsidTr="006919B6">
        <w:trPr>
          <w:trHeight w:val="295"/>
        </w:trPr>
        <w:tc>
          <w:tcPr>
            <w:tcW w:w="5000" w:type="pct"/>
            <w:gridSpan w:val="9"/>
          </w:tcPr>
          <w:p w:rsidR="00106A2A" w:rsidRPr="00106A2A" w:rsidRDefault="00106A2A" w:rsidP="00106A2A">
            <w:pPr>
              <w:widowControl/>
              <w:rPr>
                <w:b/>
                <w:bCs/>
                <w:i/>
                <w:iCs/>
                <w:u w:val="single"/>
              </w:rPr>
            </w:pPr>
            <w:r w:rsidRPr="00106A2A">
              <w:rPr>
                <w:b/>
                <w:i/>
                <w:u w:val="single"/>
              </w:rPr>
              <w:t>Показатели за контекста</w:t>
            </w:r>
          </w:p>
        </w:tc>
      </w:tr>
      <w:tr w:rsidR="00106A2A" w:rsidRPr="00106A2A" w:rsidTr="006919B6">
        <w:tc>
          <w:tcPr>
            <w:tcW w:w="506" w:type="pct"/>
            <w:gridSpan w:val="2"/>
          </w:tcPr>
          <w:p w:rsidR="00106A2A" w:rsidRPr="00106A2A" w:rsidRDefault="00106A2A" w:rsidP="00106A2A">
            <w:pPr>
              <w:widowControl/>
              <w:jc w:val="both"/>
              <w:rPr>
                <w:b/>
                <w:bCs/>
                <w:i/>
                <w:iCs/>
              </w:rPr>
            </w:pPr>
            <w:r w:rsidRPr="00106A2A">
              <w:rPr>
                <w:b/>
                <w:i/>
              </w:rPr>
              <w:t>1</w:t>
            </w:r>
          </w:p>
        </w:tc>
        <w:tc>
          <w:tcPr>
            <w:tcW w:w="1586" w:type="pct"/>
            <w:gridSpan w:val="2"/>
          </w:tcPr>
          <w:p w:rsidR="00106A2A" w:rsidRPr="00106A2A" w:rsidRDefault="00106A2A" w:rsidP="00106A2A">
            <w:pPr>
              <w:widowControl/>
              <w:jc w:val="both"/>
              <w:rPr>
                <w:b/>
                <w:bCs/>
                <w:i/>
                <w:iCs/>
              </w:rPr>
            </w:pPr>
            <w:r w:rsidRPr="00106A2A">
              <w:rPr>
                <w:b/>
                <w:i/>
              </w:rPr>
              <w:t>Брой на уязвимите домакинства</w:t>
            </w:r>
          </w:p>
        </w:tc>
        <w:tc>
          <w:tcPr>
            <w:tcW w:w="1806" w:type="pct"/>
            <w:gridSpan w:val="2"/>
          </w:tcPr>
          <w:p w:rsidR="00106A2A" w:rsidRPr="00106A2A" w:rsidRDefault="00106A2A" w:rsidP="00106A2A">
            <w:pPr>
              <w:widowControl/>
              <w:jc w:val="both"/>
              <w:rPr>
                <w:b/>
                <w:bCs/>
                <w:i/>
                <w:iCs/>
              </w:rPr>
            </w:pPr>
            <w:r w:rsidRPr="00106A2A">
              <w:rPr>
                <w:b/>
                <w:i/>
              </w:rPr>
              <w:t>В съответствие с определението в член 2, точка 10.</w:t>
            </w:r>
          </w:p>
        </w:tc>
        <w:tc>
          <w:tcPr>
            <w:tcW w:w="1102" w:type="pct"/>
            <w:gridSpan w:val="3"/>
          </w:tcPr>
          <w:p w:rsidR="00106A2A" w:rsidRPr="00106A2A" w:rsidRDefault="00106A2A" w:rsidP="00106A2A">
            <w:pPr>
              <w:widowControl/>
              <w:rPr>
                <w:b/>
                <w:bCs/>
                <w:i/>
                <w:iCs/>
              </w:rPr>
            </w:pPr>
            <w:r w:rsidRPr="00106A2A">
              <w:rPr>
                <w:b/>
                <w:i/>
              </w:rPr>
              <w:t>Брой домакинства</w:t>
            </w:r>
          </w:p>
        </w:tc>
      </w:tr>
      <w:tr w:rsidR="00106A2A" w:rsidRPr="00106A2A" w:rsidTr="006919B6">
        <w:tc>
          <w:tcPr>
            <w:tcW w:w="506" w:type="pct"/>
            <w:gridSpan w:val="2"/>
          </w:tcPr>
          <w:p w:rsidR="00106A2A" w:rsidRPr="00106A2A" w:rsidRDefault="00106A2A" w:rsidP="00106A2A">
            <w:pPr>
              <w:widowControl/>
              <w:jc w:val="both"/>
              <w:rPr>
                <w:b/>
                <w:bCs/>
                <w:i/>
                <w:iCs/>
              </w:rPr>
            </w:pPr>
            <w:r w:rsidRPr="00106A2A">
              <w:rPr>
                <w:b/>
                <w:i/>
              </w:rPr>
              <w:t>2</w:t>
            </w:r>
          </w:p>
        </w:tc>
        <w:tc>
          <w:tcPr>
            <w:tcW w:w="1586" w:type="pct"/>
            <w:gridSpan w:val="2"/>
          </w:tcPr>
          <w:p w:rsidR="00106A2A" w:rsidRPr="00106A2A" w:rsidRDefault="00106A2A" w:rsidP="00106A2A">
            <w:pPr>
              <w:widowControl/>
              <w:jc w:val="both"/>
              <w:rPr>
                <w:b/>
                <w:bCs/>
                <w:i/>
                <w:iCs/>
              </w:rPr>
            </w:pPr>
            <w:r w:rsidRPr="00106A2A">
              <w:rPr>
                <w:b/>
                <w:i/>
              </w:rPr>
              <w:t>Брой домакинства в енергийна бедност</w:t>
            </w:r>
          </w:p>
        </w:tc>
        <w:tc>
          <w:tcPr>
            <w:tcW w:w="1806" w:type="pct"/>
            <w:gridSpan w:val="2"/>
          </w:tcPr>
          <w:p w:rsidR="00106A2A" w:rsidRPr="00106A2A" w:rsidRDefault="00106A2A" w:rsidP="00106A2A">
            <w:pPr>
              <w:widowControl/>
              <w:jc w:val="both"/>
              <w:rPr>
                <w:b/>
                <w:bCs/>
                <w:i/>
                <w:iCs/>
              </w:rPr>
            </w:pPr>
            <w:r w:rsidRPr="00106A2A">
              <w:rPr>
                <w:b/>
                <w:i/>
              </w:rPr>
              <w:t>В съответствие с определението в член 2, точка 1.</w:t>
            </w:r>
          </w:p>
        </w:tc>
        <w:tc>
          <w:tcPr>
            <w:tcW w:w="1102" w:type="pct"/>
            <w:gridSpan w:val="3"/>
          </w:tcPr>
          <w:p w:rsidR="00106A2A" w:rsidRPr="00106A2A" w:rsidRDefault="00106A2A" w:rsidP="00106A2A">
            <w:pPr>
              <w:widowControl/>
              <w:rPr>
                <w:b/>
                <w:bCs/>
                <w:i/>
                <w:iCs/>
              </w:rPr>
            </w:pPr>
            <w:r w:rsidRPr="00106A2A">
              <w:rPr>
                <w:b/>
                <w:i/>
              </w:rPr>
              <w:t>Брой домакинства</w:t>
            </w:r>
          </w:p>
        </w:tc>
      </w:tr>
      <w:tr w:rsidR="00106A2A" w:rsidRPr="00106A2A" w:rsidTr="006919B6">
        <w:tc>
          <w:tcPr>
            <w:tcW w:w="5000" w:type="pct"/>
            <w:gridSpan w:val="9"/>
          </w:tcPr>
          <w:p w:rsidR="00106A2A" w:rsidRPr="00106A2A" w:rsidRDefault="00106A2A" w:rsidP="00106A2A">
            <w:pPr>
              <w:widowControl/>
              <w:rPr>
                <w:b/>
                <w:bCs/>
                <w:i/>
                <w:iCs/>
                <w:u w:val="single"/>
              </w:rPr>
            </w:pPr>
            <w:r w:rsidRPr="00106A2A">
              <w:rPr>
                <w:b/>
                <w:i/>
                <w:u w:val="single"/>
              </w:rPr>
              <w:t>Показатели за крайния продукт</w:t>
            </w:r>
          </w:p>
        </w:tc>
      </w:tr>
      <w:tr w:rsidR="00106A2A" w:rsidRPr="00106A2A" w:rsidTr="006919B6">
        <w:tc>
          <w:tcPr>
            <w:tcW w:w="506" w:type="pct"/>
            <w:gridSpan w:val="2"/>
          </w:tcPr>
          <w:p w:rsidR="00106A2A" w:rsidRPr="00106A2A" w:rsidRDefault="00106A2A" w:rsidP="00106A2A">
            <w:pPr>
              <w:widowControl/>
              <w:jc w:val="both"/>
              <w:rPr>
                <w:b/>
                <w:bCs/>
                <w:i/>
                <w:iCs/>
              </w:rPr>
            </w:pPr>
            <w:r w:rsidRPr="00106A2A">
              <w:rPr>
                <w:b/>
                <w:i/>
              </w:rPr>
              <w:t>3</w:t>
            </w:r>
          </w:p>
        </w:tc>
        <w:tc>
          <w:tcPr>
            <w:tcW w:w="1586" w:type="pct"/>
            <w:gridSpan w:val="2"/>
          </w:tcPr>
          <w:p w:rsidR="00106A2A" w:rsidRPr="00106A2A" w:rsidRDefault="00106A2A" w:rsidP="00106A2A">
            <w:pPr>
              <w:widowControl/>
              <w:jc w:val="both"/>
              <w:rPr>
                <w:b/>
                <w:bCs/>
                <w:i/>
                <w:iCs/>
              </w:rPr>
            </w:pPr>
            <w:r w:rsidRPr="00106A2A">
              <w:rPr>
                <w:b/>
                <w:i/>
              </w:rPr>
              <w:t>Брой на уязвимите домакинства, които са се възползвали от поне една структурна мярка за намаление на емисиите си в сектор „Сгради“</w:t>
            </w:r>
          </w:p>
          <w:p w:rsidR="00106A2A" w:rsidRPr="00106A2A" w:rsidRDefault="00106A2A" w:rsidP="00106A2A">
            <w:pPr>
              <w:widowControl/>
              <w:spacing w:before="120" w:after="120" w:line="360" w:lineRule="auto"/>
            </w:pPr>
          </w:p>
          <w:p w:rsidR="00106A2A" w:rsidRPr="00106A2A" w:rsidRDefault="00106A2A" w:rsidP="00106A2A">
            <w:pPr>
              <w:widowControl/>
              <w:tabs>
                <w:tab w:val="left" w:pos="2933"/>
              </w:tabs>
              <w:spacing w:before="120" w:after="120" w:line="360" w:lineRule="auto"/>
            </w:pPr>
            <w:r w:rsidRPr="00106A2A">
              <w:tab/>
            </w:r>
          </w:p>
        </w:tc>
        <w:tc>
          <w:tcPr>
            <w:tcW w:w="1806" w:type="pct"/>
            <w:gridSpan w:val="2"/>
          </w:tcPr>
          <w:p w:rsidR="00106A2A" w:rsidRPr="00106A2A" w:rsidRDefault="00106A2A" w:rsidP="00106A2A">
            <w:pPr>
              <w:widowControl/>
              <w:jc w:val="both"/>
              <w:rPr>
                <w:b/>
                <w:bCs/>
                <w:i/>
                <w:iCs/>
              </w:rPr>
            </w:pPr>
            <w:r w:rsidRPr="00106A2A">
              <w:rPr>
                <w:b/>
                <w:i/>
              </w:rPr>
              <w:t>В съответствие с член 2, точка 10 и член 8, параграф 1. Само мерки, които се дължат на подкрепа по линия на Фонда.</w:t>
            </w:r>
          </w:p>
        </w:tc>
        <w:tc>
          <w:tcPr>
            <w:tcW w:w="1102" w:type="pct"/>
            <w:gridSpan w:val="3"/>
          </w:tcPr>
          <w:p w:rsidR="00106A2A" w:rsidRPr="00106A2A" w:rsidRDefault="00106A2A" w:rsidP="00106A2A">
            <w:pPr>
              <w:widowControl/>
              <w:rPr>
                <w:b/>
                <w:bCs/>
                <w:i/>
                <w:iCs/>
              </w:rPr>
            </w:pPr>
            <w:r w:rsidRPr="00106A2A">
              <w:rPr>
                <w:b/>
                <w:i/>
              </w:rPr>
              <w:t>Брой домакинства</w:t>
            </w:r>
          </w:p>
        </w:tc>
      </w:tr>
      <w:tr w:rsidR="00106A2A" w:rsidRPr="00106A2A" w:rsidTr="006919B6">
        <w:trPr>
          <w:trHeight w:val="1548"/>
        </w:trPr>
        <w:tc>
          <w:tcPr>
            <w:tcW w:w="506" w:type="pct"/>
            <w:gridSpan w:val="2"/>
          </w:tcPr>
          <w:p w:rsidR="00106A2A" w:rsidRPr="00106A2A" w:rsidRDefault="00106A2A" w:rsidP="00106A2A">
            <w:pPr>
              <w:widowControl/>
              <w:jc w:val="both"/>
              <w:rPr>
                <w:b/>
                <w:bCs/>
                <w:i/>
                <w:iCs/>
              </w:rPr>
            </w:pPr>
            <w:r w:rsidRPr="00106A2A">
              <w:rPr>
                <w:b/>
                <w:i/>
              </w:rPr>
              <w:t>4</w:t>
            </w:r>
          </w:p>
        </w:tc>
        <w:tc>
          <w:tcPr>
            <w:tcW w:w="1586" w:type="pct"/>
            <w:gridSpan w:val="2"/>
          </w:tcPr>
          <w:p w:rsidR="00106A2A" w:rsidRPr="00106A2A" w:rsidRDefault="00106A2A" w:rsidP="00106A2A">
            <w:pPr>
              <w:widowControl/>
              <w:jc w:val="both"/>
              <w:rPr>
                <w:b/>
                <w:bCs/>
                <w:i/>
                <w:iCs/>
              </w:rPr>
            </w:pPr>
            <w:r w:rsidRPr="00106A2A">
              <w:rPr>
                <w:b/>
                <w:i/>
              </w:rPr>
              <w:t>Брой на сградите, преминали основно саниране (т.е. саниране, което преобразува сграда или обособена част от сграда а) преди 1 януари 2030 г. — в сграда с почти нулево потребление на енергия, б) считано от 1 януари 2030 г. — в сграда с нулеви емисии)</w:t>
            </w:r>
          </w:p>
        </w:tc>
        <w:tc>
          <w:tcPr>
            <w:tcW w:w="1806" w:type="pct"/>
            <w:gridSpan w:val="2"/>
            <w:vMerge w:val="restart"/>
          </w:tcPr>
          <w:p w:rsidR="00106A2A" w:rsidRPr="00106A2A" w:rsidRDefault="00106A2A" w:rsidP="00106A2A">
            <w:pPr>
              <w:widowControl/>
              <w:jc w:val="both"/>
              <w:rPr>
                <w:b/>
                <w:bCs/>
                <w:i/>
                <w:iCs/>
              </w:rPr>
            </w:pPr>
            <w:r w:rsidRPr="00106A2A">
              <w:rPr>
                <w:b/>
                <w:i/>
              </w:rPr>
              <w:t>Показателят отчита броя на сградите и съответната застроена площ, които се санират изцяло или частично, въз основа на подкрепата чрез мерки и инвестиции по линия на Фонда, където „санирането на сгради“ е определено в член 2, точка 13. Освен това показателят разграничава сградите въз основа на техния клас на сертификат за енергийни характеристики и посочва конкретно колко сгради с най-лоши характеристики са били санирани.</w:t>
            </w:r>
          </w:p>
        </w:tc>
        <w:tc>
          <w:tcPr>
            <w:tcW w:w="1102" w:type="pct"/>
            <w:gridSpan w:val="3"/>
          </w:tcPr>
          <w:p w:rsidR="00106A2A" w:rsidRPr="00106A2A" w:rsidRDefault="00106A2A" w:rsidP="00106A2A">
            <w:pPr>
              <w:widowControl/>
              <w:rPr>
                <w:b/>
                <w:bCs/>
                <w:i/>
                <w:iCs/>
              </w:rPr>
            </w:pPr>
            <w:r w:rsidRPr="00106A2A">
              <w:rPr>
                <w:b/>
                <w:i/>
              </w:rPr>
              <w:t>Сградни единици</w:t>
            </w:r>
          </w:p>
        </w:tc>
      </w:tr>
      <w:tr w:rsidR="00106A2A" w:rsidRPr="00106A2A" w:rsidTr="006919B6">
        <w:trPr>
          <w:trHeight w:val="1548"/>
        </w:trPr>
        <w:tc>
          <w:tcPr>
            <w:tcW w:w="506" w:type="pct"/>
            <w:gridSpan w:val="2"/>
          </w:tcPr>
          <w:p w:rsidR="00106A2A" w:rsidRPr="00106A2A" w:rsidRDefault="00106A2A" w:rsidP="00106A2A">
            <w:pPr>
              <w:widowControl/>
              <w:jc w:val="both"/>
              <w:rPr>
                <w:b/>
                <w:bCs/>
                <w:i/>
                <w:iCs/>
              </w:rPr>
            </w:pPr>
            <w:r w:rsidRPr="00106A2A">
              <w:rPr>
                <w:b/>
                <w:i/>
              </w:rPr>
              <w:t>5</w:t>
            </w:r>
          </w:p>
        </w:tc>
        <w:tc>
          <w:tcPr>
            <w:tcW w:w="1586" w:type="pct"/>
            <w:gridSpan w:val="2"/>
          </w:tcPr>
          <w:p w:rsidR="00106A2A" w:rsidRPr="00106A2A" w:rsidRDefault="00106A2A" w:rsidP="00106A2A">
            <w:pPr>
              <w:widowControl/>
              <w:jc w:val="both"/>
              <w:rPr>
                <w:b/>
                <w:bCs/>
                <w:i/>
                <w:iCs/>
              </w:rPr>
            </w:pPr>
            <w:r w:rsidRPr="00106A2A">
              <w:rPr>
                <w:b/>
                <w:i/>
              </w:rPr>
              <w:t>Разгъната използваема застроена площ на сградите, преминали основно саниране (т.е. саниране, което преобразува сграда или обособена част от сграда а) преди 1 януари 2030 г. — в сграда с почти нулево потребление на енергия, б) считано от 1 януари 2030 г. — в сграда с нулеви емисии)</w:t>
            </w:r>
          </w:p>
        </w:tc>
        <w:tc>
          <w:tcPr>
            <w:tcW w:w="1806" w:type="pct"/>
            <w:gridSpan w:val="2"/>
            <w:vMerge/>
          </w:tcPr>
          <w:p w:rsidR="00106A2A" w:rsidRPr="00106A2A" w:rsidRDefault="00106A2A" w:rsidP="00106A2A">
            <w:pPr>
              <w:widowControl/>
              <w:jc w:val="both"/>
              <w:rPr>
                <w:b/>
                <w:bCs/>
                <w:i/>
                <w:iCs/>
              </w:rPr>
            </w:pPr>
          </w:p>
        </w:tc>
        <w:tc>
          <w:tcPr>
            <w:tcW w:w="1102" w:type="pct"/>
            <w:gridSpan w:val="3"/>
          </w:tcPr>
          <w:p w:rsidR="00106A2A" w:rsidRPr="00106A2A" w:rsidRDefault="00106A2A" w:rsidP="00106A2A">
            <w:pPr>
              <w:widowControl/>
              <w:rPr>
                <w:b/>
                <w:bCs/>
                <w:i/>
                <w:iCs/>
              </w:rPr>
            </w:pPr>
            <w:r w:rsidRPr="00106A2A">
              <w:rPr>
                <w:b/>
                <w:i/>
              </w:rPr>
              <w:t>Санирана застроена площ (m²/година)</w:t>
            </w:r>
          </w:p>
        </w:tc>
      </w:tr>
      <w:tr w:rsidR="00106A2A" w:rsidRPr="00106A2A" w:rsidTr="006919B6">
        <w:trPr>
          <w:trHeight w:val="1146"/>
        </w:trPr>
        <w:tc>
          <w:tcPr>
            <w:tcW w:w="506" w:type="pct"/>
            <w:gridSpan w:val="2"/>
          </w:tcPr>
          <w:p w:rsidR="00106A2A" w:rsidRPr="00106A2A" w:rsidRDefault="00106A2A" w:rsidP="00106A2A">
            <w:pPr>
              <w:widowControl/>
              <w:jc w:val="both"/>
              <w:rPr>
                <w:b/>
                <w:bCs/>
                <w:i/>
                <w:iCs/>
              </w:rPr>
            </w:pPr>
            <w:r w:rsidRPr="00106A2A">
              <w:rPr>
                <w:b/>
                <w:i/>
              </w:rPr>
              <w:t>6</w:t>
            </w:r>
          </w:p>
        </w:tc>
        <w:tc>
          <w:tcPr>
            <w:tcW w:w="1586" w:type="pct"/>
            <w:gridSpan w:val="2"/>
          </w:tcPr>
          <w:p w:rsidR="00106A2A" w:rsidRPr="00106A2A" w:rsidRDefault="00106A2A" w:rsidP="00106A2A">
            <w:pPr>
              <w:widowControl/>
              <w:jc w:val="both"/>
              <w:rPr>
                <w:b/>
                <w:bCs/>
                <w:i/>
                <w:iCs/>
              </w:rPr>
            </w:pPr>
            <w:r w:rsidRPr="00106A2A">
              <w:rPr>
                <w:b/>
                <w:i/>
              </w:rPr>
              <w:t>Брой на сградите, преминали друго енергийно саниране (т.е. всички видове енергийно саниране, с изключение на основното саниране, да се докладват по-горе)</w:t>
            </w:r>
          </w:p>
        </w:tc>
        <w:tc>
          <w:tcPr>
            <w:tcW w:w="1806" w:type="pct"/>
            <w:gridSpan w:val="2"/>
            <w:vMerge/>
          </w:tcPr>
          <w:p w:rsidR="00106A2A" w:rsidRPr="00106A2A" w:rsidRDefault="00106A2A" w:rsidP="00106A2A">
            <w:pPr>
              <w:widowControl/>
              <w:jc w:val="both"/>
              <w:rPr>
                <w:b/>
                <w:bCs/>
                <w:i/>
                <w:iCs/>
              </w:rPr>
            </w:pPr>
          </w:p>
        </w:tc>
        <w:tc>
          <w:tcPr>
            <w:tcW w:w="1102" w:type="pct"/>
            <w:gridSpan w:val="3"/>
          </w:tcPr>
          <w:p w:rsidR="00106A2A" w:rsidRPr="00106A2A" w:rsidRDefault="00106A2A" w:rsidP="00106A2A">
            <w:pPr>
              <w:widowControl/>
              <w:rPr>
                <w:b/>
                <w:bCs/>
                <w:i/>
                <w:iCs/>
              </w:rPr>
            </w:pPr>
            <w:r w:rsidRPr="00106A2A">
              <w:rPr>
                <w:b/>
                <w:i/>
              </w:rPr>
              <w:t>Сградни единици</w:t>
            </w:r>
          </w:p>
        </w:tc>
      </w:tr>
      <w:tr w:rsidR="00106A2A" w:rsidRPr="00106A2A" w:rsidTr="006919B6">
        <w:trPr>
          <w:trHeight w:val="1146"/>
        </w:trPr>
        <w:tc>
          <w:tcPr>
            <w:tcW w:w="506" w:type="pct"/>
            <w:gridSpan w:val="2"/>
          </w:tcPr>
          <w:p w:rsidR="00106A2A" w:rsidRPr="00106A2A" w:rsidRDefault="00106A2A" w:rsidP="00106A2A">
            <w:pPr>
              <w:widowControl/>
              <w:jc w:val="both"/>
              <w:rPr>
                <w:b/>
                <w:bCs/>
                <w:i/>
                <w:iCs/>
              </w:rPr>
            </w:pPr>
            <w:r w:rsidRPr="00106A2A">
              <w:rPr>
                <w:b/>
                <w:i/>
              </w:rPr>
              <w:t>7</w:t>
            </w:r>
          </w:p>
        </w:tc>
        <w:tc>
          <w:tcPr>
            <w:tcW w:w="1586" w:type="pct"/>
            <w:gridSpan w:val="2"/>
          </w:tcPr>
          <w:p w:rsidR="00106A2A" w:rsidRPr="00106A2A" w:rsidRDefault="00106A2A" w:rsidP="00106A2A">
            <w:pPr>
              <w:widowControl/>
              <w:jc w:val="both"/>
              <w:rPr>
                <w:b/>
                <w:bCs/>
                <w:i/>
                <w:iCs/>
              </w:rPr>
            </w:pPr>
            <w:r w:rsidRPr="00106A2A">
              <w:rPr>
                <w:b/>
                <w:i/>
              </w:rPr>
              <w:t>Разгъната използваема застроена площ на сградите, преминали друго енергийно саниране (т.е. всички видове енергийно саниране, с изключение на основното саниране, да се докладват по-горе)</w:t>
            </w:r>
          </w:p>
        </w:tc>
        <w:tc>
          <w:tcPr>
            <w:tcW w:w="1806" w:type="pct"/>
            <w:gridSpan w:val="2"/>
            <w:vMerge/>
          </w:tcPr>
          <w:p w:rsidR="00106A2A" w:rsidRPr="00106A2A" w:rsidRDefault="00106A2A" w:rsidP="00106A2A">
            <w:pPr>
              <w:widowControl/>
              <w:jc w:val="both"/>
              <w:rPr>
                <w:b/>
                <w:bCs/>
                <w:i/>
                <w:iCs/>
              </w:rPr>
            </w:pPr>
          </w:p>
        </w:tc>
        <w:tc>
          <w:tcPr>
            <w:tcW w:w="1102" w:type="pct"/>
            <w:gridSpan w:val="3"/>
          </w:tcPr>
          <w:p w:rsidR="00106A2A" w:rsidRPr="00106A2A" w:rsidRDefault="00106A2A" w:rsidP="00106A2A">
            <w:pPr>
              <w:widowControl/>
              <w:rPr>
                <w:b/>
                <w:bCs/>
                <w:i/>
                <w:iCs/>
              </w:rPr>
            </w:pPr>
            <w:r w:rsidRPr="00106A2A">
              <w:rPr>
                <w:b/>
                <w:i/>
              </w:rPr>
              <w:t>Санирана застроена площ (m²/година)</w:t>
            </w:r>
          </w:p>
        </w:tc>
      </w:tr>
      <w:tr w:rsidR="00106A2A" w:rsidRPr="00106A2A" w:rsidTr="006919B6">
        <w:tc>
          <w:tcPr>
            <w:tcW w:w="506" w:type="pct"/>
            <w:gridSpan w:val="2"/>
          </w:tcPr>
          <w:p w:rsidR="00106A2A" w:rsidRPr="00106A2A" w:rsidRDefault="00106A2A" w:rsidP="00106A2A">
            <w:pPr>
              <w:widowControl/>
              <w:jc w:val="both"/>
              <w:rPr>
                <w:b/>
                <w:bCs/>
                <w:i/>
                <w:iCs/>
              </w:rPr>
            </w:pPr>
            <w:r w:rsidRPr="00106A2A">
              <w:rPr>
                <w:b/>
                <w:i/>
              </w:rPr>
              <w:t>8</w:t>
            </w:r>
          </w:p>
        </w:tc>
        <w:tc>
          <w:tcPr>
            <w:tcW w:w="1586" w:type="pct"/>
            <w:gridSpan w:val="2"/>
          </w:tcPr>
          <w:p w:rsidR="00106A2A" w:rsidRPr="00106A2A" w:rsidRDefault="00106A2A" w:rsidP="00106A2A">
            <w:pPr>
              <w:widowControl/>
              <w:jc w:val="both"/>
              <w:rPr>
                <w:b/>
                <w:bCs/>
                <w:i/>
                <w:iCs/>
              </w:rPr>
            </w:pPr>
            <w:r w:rsidRPr="00106A2A">
              <w:rPr>
                <w:b/>
                <w:i/>
              </w:rPr>
              <w:t>Подмяна на отоплителна инсталация, работеща с изкопаеми горива, с уред на основата на енергия от възобновяеми източници и/или високоефективна инсталация въз основа на класа на енергийния етикет, определен в съответния нормативен акт.</w:t>
            </w:r>
          </w:p>
        </w:tc>
        <w:tc>
          <w:tcPr>
            <w:tcW w:w="1806" w:type="pct"/>
            <w:gridSpan w:val="2"/>
          </w:tcPr>
          <w:p w:rsidR="00106A2A" w:rsidRPr="00106A2A" w:rsidRDefault="00106A2A" w:rsidP="00106A2A">
            <w:pPr>
              <w:widowControl/>
              <w:rPr>
                <w:b/>
                <w:bCs/>
                <w:i/>
                <w:iCs/>
              </w:rPr>
            </w:pPr>
            <w:r w:rsidRPr="00106A2A">
              <w:rPr>
                <w:b/>
                <w:i/>
              </w:rPr>
              <w:t>Тези действия отговарят на показателя за енергия от възобновяеми източници на ЕС и на индикативния дял на възобновяемата енергия (в крайно енергийно потребление), определени на национално равнище в сектор „Сгради“ съгласно съответната разпоредба на Директива (ЕС) 2018/2001</w:t>
            </w:r>
            <w:r w:rsidRPr="00106A2A">
              <w:rPr>
                <w:b/>
                <w:bCs/>
                <w:i/>
                <w:iCs/>
              </w:rPr>
              <w:t>.</w:t>
            </w:r>
          </w:p>
          <w:p w:rsidR="00106A2A" w:rsidRPr="00106A2A" w:rsidRDefault="00106A2A" w:rsidP="00106A2A">
            <w:pPr>
              <w:widowControl/>
              <w:rPr>
                <w:b/>
                <w:bCs/>
                <w:i/>
                <w:iCs/>
              </w:rPr>
            </w:pPr>
            <w:r w:rsidRPr="00106A2A">
              <w:rPr>
                <w:b/>
                <w:i/>
              </w:rPr>
              <w:t xml:space="preserve"> Отоплителните и охладителните системи на основата на енергия от възобновяеми източници и електроенергията от възобновяеми източници могат да допринесат за този целеви показател. Тези действия също така ще допринесат за постигането на целевата стойност за отопление и охлаждане чрез енергия от възобновяеми източници съгласно съответната разпоредба на посочената директива. Това се отнася само до допълнителни заместители на отоплителни инсталации, работещи с изкопаеми горива, които се дължат на подкрепа от Фонда. </w:t>
            </w:r>
          </w:p>
        </w:tc>
        <w:tc>
          <w:tcPr>
            <w:tcW w:w="1102" w:type="pct"/>
            <w:gridSpan w:val="3"/>
          </w:tcPr>
          <w:p w:rsidR="00106A2A" w:rsidRPr="00106A2A" w:rsidRDefault="00106A2A" w:rsidP="00106A2A">
            <w:pPr>
              <w:widowControl/>
              <w:rPr>
                <w:b/>
                <w:bCs/>
                <w:i/>
                <w:iCs/>
              </w:rPr>
            </w:pPr>
            <w:r w:rsidRPr="00106A2A">
              <w:rPr>
                <w:b/>
                <w:i/>
              </w:rPr>
              <w:t>Брой на заменените инсталации за отопление, работещи с изкопаеми горива (например с термопомпа или слънчева топлинна инсталация)</w:t>
            </w:r>
          </w:p>
        </w:tc>
      </w:tr>
      <w:tr w:rsidR="00106A2A" w:rsidRPr="00106A2A" w:rsidTr="006919B6">
        <w:trPr>
          <w:trHeight w:val="986"/>
        </w:trPr>
        <w:tc>
          <w:tcPr>
            <w:tcW w:w="506" w:type="pct"/>
            <w:gridSpan w:val="2"/>
          </w:tcPr>
          <w:p w:rsidR="00106A2A" w:rsidRPr="00106A2A" w:rsidRDefault="00106A2A" w:rsidP="00106A2A">
            <w:pPr>
              <w:pageBreakBefore/>
              <w:widowControl/>
              <w:jc w:val="both"/>
              <w:rPr>
                <w:b/>
                <w:bCs/>
                <w:i/>
                <w:iCs/>
              </w:rPr>
            </w:pPr>
            <w:r w:rsidRPr="00106A2A">
              <w:rPr>
                <w:b/>
                <w:i/>
              </w:rPr>
              <w:t>9</w:t>
            </w:r>
          </w:p>
        </w:tc>
        <w:tc>
          <w:tcPr>
            <w:tcW w:w="1586" w:type="pct"/>
            <w:gridSpan w:val="2"/>
            <w:vMerge w:val="restart"/>
          </w:tcPr>
          <w:p w:rsidR="00106A2A" w:rsidRPr="00106A2A" w:rsidRDefault="00106A2A" w:rsidP="00106A2A">
            <w:pPr>
              <w:widowControl/>
              <w:jc w:val="both"/>
              <w:rPr>
                <w:b/>
                <w:bCs/>
                <w:i/>
                <w:iCs/>
              </w:rPr>
            </w:pPr>
            <w:r w:rsidRPr="00106A2A">
              <w:rPr>
                <w:b/>
                <w:i/>
              </w:rPr>
              <w:t xml:space="preserve">Инсталиран допълнителен оперативен капацитет за енергия от възобновяеми източници </w:t>
            </w:r>
          </w:p>
        </w:tc>
        <w:tc>
          <w:tcPr>
            <w:tcW w:w="1806" w:type="pct"/>
            <w:gridSpan w:val="2"/>
            <w:vMerge w:val="restart"/>
          </w:tcPr>
          <w:p w:rsidR="00106A2A" w:rsidRPr="00106A2A" w:rsidRDefault="00106A2A" w:rsidP="00106A2A">
            <w:pPr>
              <w:widowControl/>
              <w:jc w:val="both"/>
              <w:rPr>
                <w:b/>
                <w:bCs/>
                <w:i/>
                <w:iCs/>
              </w:rPr>
            </w:pPr>
            <w:r w:rsidRPr="00106A2A">
              <w:rPr>
                <w:b/>
                <w:i/>
              </w:rPr>
              <w:t>Брой и капацитет на покривните фотоволтаични и слънчеви термални колектори или фотоволтаични термални панели (</w:t>
            </w:r>
            <w:sdt>
              <w:sdtPr>
                <w:rPr>
                  <w:b/>
                  <w:bCs/>
                  <w:i/>
                  <w:iCs/>
                </w:rPr>
                <w:tag w:val="goog_rdk_43"/>
                <w:id w:val="-1237623986"/>
              </w:sdtPr>
              <w:sdtContent/>
            </w:sdt>
            <w:r w:rsidRPr="00106A2A">
              <w:rPr>
                <w:b/>
                <w:i/>
              </w:rPr>
              <w:t>PVT); брой и капацитет на термопомпите; брой и капацитет на други технологии за отопление и охлаждане на помещения с енергия от възобновяеми източници, включително котли на основата на енергия от възобновяеми източници. Отнася се само до допълнителен оперативен капацитет, който се дължи на подкрепата на Фонда.</w:t>
            </w:r>
          </w:p>
        </w:tc>
        <w:tc>
          <w:tcPr>
            <w:tcW w:w="1102" w:type="pct"/>
            <w:gridSpan w:val="3"/>
          </w:tcPr>
          <w:p w:rsidR="00106A2A" w:rsidRPr="00106A2A" w:rsidRDefault="00106A2A" w:rsidP="00106A2A">
            <w:pPr>
              <w:widowControl/>
              <w:rPr>
                <w:b/>
                <w:bCs/>
                <w:i/>
                <w:iCs/>
              </w:rPr>
            </w:pPr>
            <w:r w:rsidRPr="00106A2A">
              <w:rPr>
                <w:b/>
                <w:i/>
              </w:rPr>
              <w:t>MW</w:t>
            </w:r>
          </w:p>
        </w:tc>
      </w:tr>
      <w:tr w:rsidR="00106A2A" w:rsidRPr="00106A2A" w:rsidTr="006919B6">
        <w:trPr>
          <w:trHeight w:val="756"/>
        </w:trPr>
        <w:tc>
          <w:tcPr>
            <w:tcW w:w="506" w:type="pct"/>
            <w:gridSpan w:val="2"/>
          </w:tcPr>
          <w:p w:rsidR="00106A2A" w:rsidRPr="00106A2A" w:rsidRDefault="00106A2A" w:rsidP="00106A2A">
            <w:pPr>
              <w:widowControl/>
              <w:jc w:val="both"/>
              <w:rPr>
                <w:b/>
                <w:bCs/>
                <w:i/>
                <w:iCs/>
              </w:rPr>
            </w:pPr>
            <w:r w:rsidRPr="00106A2A">
              <w:rPr>
                <w:b/>
                <w:i/>
              </w:rPr>
              <w:t>10</w:t>
            </w:r>
          </w:p>
        </w:tc>
        <w:tc>
          <w:tcPr>
            <w:tcW w:w="1586" w:type="pct"/>
            <w:gridSpan w:val="2"/>
            <w:vMerge/>
          </w:tcPr>
          <w:p w:rsidR="00106A2A" w:rsidRPr="00106A2A" w:rsidRDefault="00106A2A" w:rsidP="00106A2A">
            <w:pPr>
              <w:widowControl/>
              <w:jc w:val="both"/>
              <w:rPr>
                <w:b/>
                <w:bCs/>
                <w:i/>
                <w:iCs/>
              </w:rPr>
            </w:pPr>
          </w:p>
        </w:tc>
        <w:tc>
          <w:tcPr>
            <w:tcW w:w="1806" w:type="pct"/>
            <w:gridSpan w:val="2"/>
            <w:vMerge/>
          </w:tcPr>
          <w:p w:rsidR="00106A2A" w:rsidRPr="00106A2A" w:rsidRDefault="00106A2A" w:rsidP="00106A2A">
            <w:pPr>
              <w:widowControl/>
              <w:jc w:val="both"/>
              <w:rPr>
                <w:b/>
                <w:bCs/>
                <w:i/>
                <w:iCs/>
              </w:rPr>
            </w:pPr>
          </w:p>
        </w:tc>
        <w:tc>
          <w:tcPr>
            <w:tcW w:w="1102" w:type="pct"/>
            <w:gridSpan w:val="3"/>
          </w:tcPr>
          <w:p w:rsidR="00106A2A" w:rsidRPr="00106A2A" w:rsidRDefault="00106A2A" w:rsidP="00106A2A">
            <w:pPr>
              <w:widowControl/>
              <w:rPr>
                <w:b/>
                <w:bCs/>
                <w:i/>
                <w:iCs/>
              </w:rPr>
            </w:pPr>
            <w:r w:rsidRPr="00106A2A">
              <w:rPr>
                <w:b/>
                <w:i/>
              </w:rPr>
              <w:t xml:space="preserve">брой единици </w:t>
            </w:r>
          </w:p>
        </w:tc>
      </w:tr>
      <w:tr w:rsidR="00106A2A" w:rsidRPr="00106A2A" w:rsidTr="006919B6">
        <w:tc>
          <w:tcPr>
            <w:tcW w:w="5000" w:type="pct"/>
            <w:gridSpan w:val="9"/>
          </w:tcPr>
          <w:p w:rsidR="00106A2A" w:rsidRPr="00106A2A" w:rsidRDefault="00106A2A" w:rsidP="00106A2A">
            <w:pPr>
              <w:widowControl/>
              <w:rPr>
                <w:b/>
                <w:bCs/>
                <w:i/>
                <w:iCs/>
                <w:u w:val="single"/>
              </w:rPr>
            </w:pPr>
            <w:r w:rsidRPr="00106A2A">
              <w:rPr>
                <w:b/>
                <w:i/>
                <w:u w:val="single"/>
              </w:rPr>
              <w:t>Показатели за резултатите</w:t>
            </w:r>
          </w:p>
        </w:tc>
      </w:tr>
      <w:tr w:rsidR="00106A2A" w:rsidRPr="00106A2A" w:rsidTr="006919B6">
        <w:tc>
          <w:tcPr>
            <w:tcW w:w="506" w:type="pct"/>
            <w:gridSpan w:val="2"/>
          </w:tcPr>
          <w:p w:rsidR="00106A2A" w:rsidRPr="00106A2A" w:rsidRDefault="00106A2A" w:rsidP="00106A2A">
            <w:pPr>
              <w:widowControl/>
              <w:jc w:val="both"/>
              <w:rPr>
                <w:b/>
                <w:bCs/>
                <w:i/>
                <w:iCs/>
              </w:rPr>
            </w:pPr>
            <w:r w:rsidRPr="00106A2A">
              <w:rPr>
                <w:b/>
                <w:i/>
              </w:rPr>
              <w:t>11</w:t>
            </w:r>
          </w:p>
        </w:tc>
        <w:tc>
          <w:tcPr>
            <w:tcW w:w="1586" w:type="pct"/>
            <w:gridSpan w:val="2"/>
          </w:tcPr>
          <w:p w:rsidR="00106A2A" w:rsidRPr="00106A2A" w:rsidRDefault="00106A2A" w:rsidP="00106A2A">
            <w:pPr>
              <w:widowControl/>
              <w:jc w:val="both"/>
              <w:rPr>
                <w:b/>
                <w:bCs/>
                <w:i/>
                <w:iCs/>
              </w:rPr>
            </w:pPr>
            <w:r w:rsidRPr="00106A2A">
              <w:rPr>
                <w:b/>
                <w:i/>
              </w:rPr>
              <w:t>Намаляване на броя на уязвимите домакинства</w:t>
            </w:r>
          </w:p>
        </w:tc>
        <w:tc>
          <w:tcPr>
            <w:tcW w:w="1806" w:type="pct"/>
            <w:gridSpan w:val="2"/>
          </w:tcPr>
          <w:p w:rsidR="00106A2A" w:rsidRPr="00106A2A" w:rsidRDefault="00106A2A" w:rsidP="00106A2A">
            <w:pPr>
              <w:widowControl/>
              <w:jc w:val="both"/>
              <w:rPr>
                <w:b/>
                <w:bCs/>
                <w:i/>
                <w:iCs/>
              </w:rPr>
            </w:pPr>
            <w:r w:rsidRPr="00106A2A">
              <w:rPr>
                <w:b/>
                <w:i/>
              </w:rPr>
              <w:t>Намаляване на броя на уязвимите домакинства в резултат на мерки и инвестиции, финансирани по линия на Фонда.</w:t>
            </w:r>
          </w:p>
          <w:p w:rsidR="00106A2A" w:rsidRPr="00106A2A" w:rsidRDefault="00106A2A" w:rsidP="00106A2A">
            <w:pPr>
              <w:widowControl/>
              <w:jc w:val="both"/>
              <w:rPr>
                <w:b/>
                <w:bCs/>
                <w:i/>
                <w:iCs/>
              </w:rPr>
            </w:pPr>
          </w:p>
        </w:tc>
        <w:tc>
          <w:tcPr>
            <w:tcW w:w="1102" w:type="pct"/>
            <w:gridSpan w:val="3"/>
          </w:tcPr>
          <w:p w:rsidR="00106A2A" w:rsidRPr="00106A2A" w:rsidRDefault="00106A2A" w:rsidP="00106A2A">
            <w:pPr>
              <w:widowControl/>
              <w:rPr>
                <w:b/>
                <w:bCs/>
                <w:i/>
                <w:iCs/>
              </w:rPr>
            </w:pPr>
            <w:r w:rsidRPr="00106A2A">
              <w:rPr>
                <w:b/>
                <w:i/>
              </w:rPr>
              <w:t>%</w:t>
            </w:r>
          </w:p>
        </w:tc>
      </w:tr>
      <w:tr w:rsidR="00106A2A" w:rsidRPr="00106A2A" w:rsidTr="006919B6">
        <w:tc>
          <w:tcPr>
            <w:tcW w:w="506" w:type="pct"/>
            <w:gridSpan w:val="2"/>
          </w:tcPr>
          <w:p w:rsidR="00106A2A" w:rsidRPr="00106A2A" w:rsidRDefault="00106A2A" w:rsidP="00106A2A">
            <w:pPr>
              <w:widowControl/>
              <w:jc w:val="both"/>
              <w:rPr>
                <w:b/>
                <w:bCs/>
                <w:i/>
                <w:iCs/>
              </w:rPr>
            </w:pPr>
            <w:r w:rsidRPr="00106A2A">
              <w:rPr>
                <w:b/>
                <w:i/>
              </w:rPr>
              <w:t>12</w:t>
            </w:r>
          </w:p>
        </w:tc>
        <w:tc>
          <w:tcPr>
            <w:tcW w:w="1586" w:type="pct"/>
            <w:gridSpan w:val="2"/>
          </w:tcPr>
          <w:p w:rsidR="00106A2A" w:rsidRPr="00106A2A" w:rsidRDefault="00106A2A" w:rsidP="00106A2A">
            <w:pPr>
              <w:widowControl/>
              <w:jc w:val="both"/>
              <w:rPr>
                <w:b/>
                <w:bCs/>
                <w:i/>
                <w:iCs/>
              </w:rPr>
            </w:pPr>
            <w:r w:rsidRPr="00106A2A">
              <w:rPr>
                <w:b/>
                <w:i/>
              </w:rPr>
              <w:t xml:space="preserve">Очаквано намаление на емисиите на парникови газове в сектор „Сгради“ </w:t>
            </w:r>
          </w:p>
        </w:tc>
        <w:tc>
          <w:tcPr>
            <w:tcW w:w="1806" w:type="pct"/>
            <w:gridSpan w:val="2"/>
          </w:tcPr>
          <w:p w:rsidR="00106A2A" w:rsidRPr="00106A2A" w:rsidRDefault="00106A2A" w:rsidP="00106A2A">
            <w:pPr>
              <w:widowControl/>
              <w:jc w:val="both"/>
              <w:rPr>
                <w:b/>
                <w:bCs/>
                <w:i/>
                <w:iCs/>
              </w:rPr>
            </w:pPr>
            <w:r w:rsidRPr="00106A2A">
              <w:rPr>
                <w:b/>
                <w:i/>
              </w:rPr>
              <w:t>Намаление на емисиите на парникови газове в сектор „Сгради“, предизвикано от мерки и инвестиции, финансирани по линия на Фонда.</w:t>
            </w:r>
          </w:p>
          <w:p w:rsidR="00106A2A" w:rsidRPr="00106A2A" w:rsidRDefault="00106A2A" w:rsidP="00106A2A">
            <w:pPr>
              <w:widowControl/>
              <w:jc w:val="both"/>
              <w:rPr>
                <w:b/>
                <w:bCs/>
                <w:i/>
                <w:iCs/>
              </w:rPr>
            </w:pPr>
          </w:p>
          <w:p w:rsidR="00106A2A" w:rsidRPr="00106A2A" w:rsidRDefault="00106A2A" w:rsidP="00106A2A">
            <w:pPr>
              <w:widowControl/>
              <w:jc w:val="both"/>
              <w:rPr>
                <w:b/>
                <w:bCs/>
                <w:i/>
                <w:iCs/>
              </w:rPr>
            </w:pPr>
            <w:r w:rsidRPr="00106A2A">
              <w:rPr>
                <w:b/>
                <w:i/>
              </w:rPr>
              <w:t xml:space="preserve">Емисиите в сектор „Сгради“ се определят като емисиите, обхванати от глава IVa от Директива 2003/87/ЕО (за сектор „Сгради“ — източници на емисии 1A4a и 1A4b, както са установени в Насоките на МКИК относно националните инвентаризации на парниковите газове от 2006 г.). </w:t>
            </w:r>
          </w:p>
        </w:tc>
        <w:tc>
          <w:tcPr>
            <w:tcW w:w="1102" w:type="pct"/>
            <w:gridSpan w:val="3"/>
          </w:tcPr>
          <w:p w:rsidR="00106A2A" w:rsidRPr="00106A2A" w:rsidRDefault="00106A2A" w:rsidP="00106A2A">
            <w:pPr>
              <w:widowControl/>
              <w:rPr>
                <w:b/>
                <w:bCs/>
                <w:i/>
                <w:iCs/>
              </w:rPr>
            </w:pPr>
            <w:r w:rsidRPr="00106A2A">
              <w:rPr>
                <w:b/>
                <w:i/>
              </w:rPr>
              <w:t>ktCO</w:t>
            </w:r>
            <w:r w:rsidRPr="00106A2A">
              <w:rPr>
                <w:b/>
                <w:i/>
                <w:vertAlign w:val="subscript"/>
              </w:rPr>
              <w:t>2</w:t>
            </w:r>
            <w:r w:rsidRPr="00106A2A">
              <w:rPr>
                <w:b/>
                <w:i/>
              </w:rPr>
              <w:t>e</w:t>
            </w:r>
          </w:p>
        </w:tc>
      </w:tr>
      <w:tr w:rsidR="00106A2A" w:rsidRPr="00106A2A" w:rsidTr="006919B6">
        <w:trPr>
          <w:trHeight w:val="1833"/>
        </w:trPr>
        <w:tc>
          <w:tcPr>
            <w:tcW w:w="506" w:type="pct"/>
            <w:gridSpan w:val="2"/>
          </w:tcPr>
          <w:p w:rsidR="00106A2A" w:rsidRPr="00106A2A" w:rsidRDefault="00106A2A" w:rsidP="00106A2A">
            <w:pPr>
              <w:widowControl/>
              <w:jc w:val="both"/>
              <w:rPr>
                <w:b/>
                <w:bCs/>
                <w:i/>
                <w:iCs/>
              </w:rPr>
            </w:pPr>
            <w:r w:rsidRPr="00106A2A">
              <w:rPr>
                <w:b/>
                <w:i/>
              </w:rPr>
              <w:t>13</w:t>
            </w:r>
          </w:p>
        </w:tc>
        <w:tc>
          <w:tcPr>
            <w:tcW w:w="1586" w:type="pct"/>
            <w:gridSpan w:val="2"/>
          </w:tcPr>
          <w:p w:rsidR="00106A2A" w:rsidRPr="00106A2A" w:rsidRDefault="00106A2A" w:rsidP="00106A2A">
            <w:pPr>
              <w:widowControl/>
              <w:jc w:val="both"/>
              <w:rPr>
                <w:b/>
                <w:bCs/>
                <w:i/>
                <w:iCs/>
              </w:rPr>
            </w:pPr>
            <w:r w:rsidRPr="00106A2A">
              <w:rPr>
                <w:b/>
                <w:i/>
              </w:rPr>
              <w:t>Намаляване на броя на домакинствата в енергийна бедност</w:t>
            </w:r>
          </w:p>
        </w:tc>
        <w:tc>
          <w:tcPr>
            <w:tcW w:w="1806" w:type="pct"/>
            <w:gridSpan w:val="2"/>
          </w:tcPr>
          <w:p w:rsidR="00106A2A" w:rsidRPr="00106A2A" w:rsidRDefault="00106A2A" w:rsidP="00106A2A">
            <w:pPr>
              <w:widowControl/>
              <w:jc w:val="both"/>
              <w:rPr>
                <w:b/>
                <w:bCs/>
                <w:i/>
                <w:iCs/>
              </w:rPr>
            </w:pPr>
            <w:r w:rsidRPr="00106A2A">
              <w:rPr>
                <w:b/>
                <w:i/>
              </w:rPr>
              <w:t>Намаляване на броя на домакинствата в енергийна бедност в резултат на мерки и инвестиции, финансирани по линия на Фонда.</w:t>
            </w:r>
          </w:p>
          <w:p w:rsidR="00106A2A" w:rsidRPr="00106A2A" w:rsidRDefault="00106A2A" w:rsidP="00106A2A">
            <w:pPr>
              <w:widowControl/>
              <w:jc w:val="both"/>
              <w:rPr>
                <w:b/>
                <w:bCs/>
                <w:i/>
                <w:iCs/>
              </w:rPr>
            </w:pPr>
          </w:p>
          <w:p w:rsidR="00106A2A" w:rsidRPr="00106A2A" w:rsidRDefault="00106A2A" w:rsidP="00106A2A">
            <w:pPr>
              <w:widowControl/>
              <w:jc w:val="both"/>
              <w:rPr>
                <w:b/>
                <w:bCs/>
                <w:i/>
                <w:iCs/>
              </w:rPr>
            </w:pPr>
            <w:r w:rsidRPr="00106A2A">
              <w:rPr>
                <w:b/>
                <w:i/>
              </w:rPr>
              <w:t>Държавите членки, за които се отнася член 3, параграф 3, буква г) от Регламент (ЕС) 2018/1999, включват, съгласно член 24, буква б) от посочения регламент, в своя интегриран национален доклад за напредъка в областта на енергетиката и климата количествена информация за броя на домакинствата в енергийна бедност. Държавите членки могат да използват, без да се ограничават до тях, показателите, налични в Статистическата служба на Европейския съюз (Евростат), установени като подходящи в Препоръка (ЕС) 2020/1563 на Комисията от 14 октомври 2020 г. относно енергийната бедност</w:t>
            </w:r>
            <w:r w:rsidRPr="00106A2A">
              <w:rPr>
                <w:b/>
                <w:i/>
                <w:vertAlign w:val="superscript"/>
              </w:rPr>
              <w:footnoteReference w:id="42"/>
            </w:r>
            <w:r w:rsidRPr="00106A2A">
              <w:rPr>
                <w:b/>
                <w:i/>
              </w:rPr>
              <w:t>, изброени в образеца с данни за интегрираните национални доклади за напредъка в областта на енергетиката и климата.</w:t>
            </w:r>
          </w:p>
          <w:p w:rsidR="00106A2A" w:rsidRPr="00106A2A" w:rsidRDefault="00106A2A" w:rsidP="00106A2A">
            <w:pPr>
              <w:widowControl/>
              <w:jc w:val="both"/>
              <w:rPr>
                <w:b/>
                <w:bCs/>
                <w:i/>
                <w:iCs/>
              </w:rPr>
            </w:pPr>
          </w:p>
          <w:p w:rsidR="00106A2A" w:rsidRPr="00106A2A" w:rsidRDefault="00106A2A" w:rsidP="00106A2A">
            <w:pPr>
              <w:widowControl/>
              <w:jc w:val="both"/>
              <w:rPr>
                <w:b/>
                <w:bCs/>
                <w:i/>
                <w:iCs/>
              </w:rPr>
            </w:pPr>
            <w:r w:rsidRPr="00106A2A">
              <w:rPr>
                <w:b/>
                <w:i/>
              </w:rPr>
              <w:t>Показателят не отчита колективни жилища като болници, домове за полагане на грижи, затвори, военни казарми, религиозни институции, пансиони, работнически общежития и др.</w:t>
            </w:r>
          </w:p>
        </w:tc>
        <w:tc>
          <w:tcPr>
            <w:tcW w:w="1102" w:type="pct"/>
            <w:gridSpan w:val="3"/>
          </w:tcPr>
          <w:p w:rsidR="00106A2A" w:rsidRPr="00106A2A" w:rsidRDefault="00106A2A" w:rsidP="00106A2A">
            <w:pPr>
              <w:widowControl/>
              <w:rPr>
                <w:b/>
                <w:bCs/>
                <w:i/>
                <w:iCs/>
              </w:rPr>
            </w:pPr>
            <w:r w:rsidRPr="00106A2A">
              <w:rPr>
                <w:b/>
                <w:i/>
              </w:rPr>
              <w:t xml:space="preserve">% </w:t>
            </w:r>
          </w:p>
        </w:tc>
      </w:tr>
      <w:tr w:rsidR="00106A2A" w:rsidRPr="00106A2A" w:rsidTr="006919B6">
        <w:trPr>
          <w:trHeight w:val="2478"/>
        </w:trPr>
        <w:tc>
          <w:tcPr>
            <w:tcW w:w="506" w:type="pct"/>
            <w:gridSpan w:val="2"/>
          </w:tcPr>
          <w:p w:rsidR="00106A2A" w:rsidRPr="00106A2A" w:rsidRDefault="00106A2A" w:rsidP="00106A2A">
            <w:pPr>
              <w:widowControl/>
              <w:jc w:val="both"/>
              <w:rPr>
                <w:b/>
                <w:bCs/>
                <w:i/>
                <w:iCs/>
              </w:rPr>
            </w:pPr>
            <w:r w:rsidRPr="00106A2A">
              <w:rPr>
                <w:b/>
                <w:i/>
              </w:rPr>
              <w:t>14</w:t>
            </w:r>
          </w:p>
        </w:tc>
        <w:tc>
          <w:tcPr>
            <w:tcW w:w="1586" w:type="pct"/>
            <w:gridSpan w:val="2"/>
            <w:vMerge w:val="restart"/>
          </w:tcPr>
          <w:p w:rsidR="00106A2A" w:rsidRPr="00106A2A" w:rsidRDefault="00106A2A" w:rsidP="00106A2A">
            <w:pPr>
              <w:widowControl/>
              <w:jc w:val="both"/>
              <w:rPr>
                <w:b/>
                <w:bCs/>
                <w:i/>
                <w:iCs/>
              </w:rPr>
            </w:pPr>
            <w:r w:rsidRPr="00106A2A">
              <w:rPr>
                <w:b/>
                <w:i/>
              </w:rPr>
              <w:t>Реализирани икономии в годишното първично енергийно потребление</w:t>
            </w:r>
          </w:p>
        </w:tc>
        <w:tc>
          <w:tcPr>
            <w:tcW w:w="1806" w:type="pct"/>
            <w:gridSpan w:val="2"/>
            <w:vMerge w:val="restart"/>
          </w:tcPr>
          <w:p w:rsidR="00106A2A" w:rsidRPr="00106A2A" w:rsidRDefault="00106A2A" w:rsidP="00106A2A">
            <w:pPr>
              <w:widowControl/>
              <w:jc w:val="both"/>
              <w:rPr>
                <w:b/>
                <w:bCs/>
                <w:i/>
                <w:iCs/>
              </w:rPr>
            </w:pPr>
            <w:r w:rsidRPr="00106A2A">
              <w:rPr>
                <w:b/>
                <w:i/>
              </w:rPr>
              <w:t>За тази цел реализираните икономии на енергия се изчисляват само въз основа на финансовата подкрепа от Фонда.</w:t>
            </w:r>
          </w:p>
          <w:p w:rsidR="00106A2A" w:rsidRPr="00106A2A" w:rsidRDefault="00106A2A" w:rsidP="00106A2A">
            <w:pPr>
              <w:widowControl/>
              <w:jc w:val="both"/>
              <w:rPr>
                <w:b/>
                <w:bCs/>
                <w:i/>
                <w:iCs/>
              </w:rPr>
            </w:pPr>
          </w:p>
          <w:p w:rsidR="00106A2A" w:rsidRPr="00106A2A" w:rsidRDefault="00106A2A" w:rsidP="00106A2A">
            <w:pPr>
              <w:widowControl/>
              <w:jc w:val="both"/>
              <w:rPr>
                <w:b/>
                <w:bCs/>
                <w:i/>
                <w:iCs/>
              </w:rPr>
            </w:pPr>
            <w:r w:rsidRPr="00106A2A">
              <w:rPr>
                <w:b/>
                <w:i/>
              </w:rPr>
              <w:t>Държавите членки докладват за годишното намаление на крайното/първичното енергийно потребление, постигнато сред уязвимите домакинства, хората, засегнати от енергийна бедност, и когато е приложимо — хората, живеещи в социални жилища, съгласно съответните разпоредби на Директивата на Европейския парламент и на Съвета относно енергийната ефективност (преработен текст), което се дължи на подкрепа от Фонда и допълва намалението, постигнато по линия на националния фонд за енергийна ефективност съгласно съответните разпоредби на посочената директива, включително подкрепата посредством механизми за задължения за енергийна ефективност и алтернативни мерки на политиката съгласно съответната разпоредба на посочената директива и включително интервенциите, предприети с цел спазване на минимални стандарти за енергийните характеристики съгласно съответните разпоредби на посочената директива.</w:t>
            </w:r>
          </w:p>
          <w:p w:rsidR="00106A2A" w:rsidRPr="00106A2A" w:rsidRDefault="00106A2A" w:rsidP="00106A2A">
            <w:pPr>
              <w:widowControl/>
              <w:jc w:val="both"/>
              <w:rPr>
                <w:b/>
                <w:bCs/>
                <w:i/>
                <w:iCs/>
              </w:rPr>
            </w:pPr>
          </w:p>
          <w:p w:rsidR="00106A2A" w:rsidRPr="00106A2A" w:rsidRDefault="00106A2A" w:rsidP="00106A2A">
            <w:pPr>
              <w:widowControl/>
              <w:jc w:val="both"/>
              <w:rPr>
                <w:b/>
                <w:bCs/>
                <w:i/>
                <w:iCs/>
              </w:rPr>
            </w:pPr>
            <w:r w:rsidRPr="00106A2A">
              <w:rPr>
                <w:b/>
                <w:i/>
              </w:rPr>
              <w:t>Базовото равнище е годишното крайно и първично енергийно потребление преди интервенцията, а постигнатият резултат съответства на годишното крайно и първично енергийно потребление за годината след интервенцията.</w:t>
            </w:r>
          </w:p>
          <w:p w:rsidR="00106A2A" w:rsidRPr="00106A2A" w:rsidRDefault="00106A2A" w:rsidP="00106A2A">
            <w:pPr>
              <w:widowControl/>
              <w:jc w:val="both"/>
              <w:rPr>
                <w:b/>
                <w:bCs/>
                <w:i/>
                <w:iCs/>
              </w:rPr>
            </w:pPr>
          </w:p>
          <w:p w:rsidR="00106A2A" w:rsidRPr="00106A2A" w:rsidRDefault="00106A2A" w:rsidP="00106A2A">
            <w:pPr>
              <w:widowControl/>
              <w:jc w:val="both"/>
              <w:rPr>
                <w:b/>
                <w:bCs/>
                <w:i/>
                <w:iCs/>
              </w:rPr>
            </w:pPr>
            <w:r w:rsidRPr="00106A2A">
              <w:rPr>
                <w:b/>
                <w:i/>
              </w:rPr>
              <w:t xml:space="preserve">Икономиите на енергия в отделните сгради се документират въз основа на сертификати за енергийни характеристики или други критерии за определяне на целевите или реализираните икономии на енергия, посочени в съответната разпоредба на Директивата на Европейския парламент и на Съвета относно енергийните характеристики на сградите (преработен текст). </w:t>
            </w:r>
          </w:p>
        </w:tc>
        <w:tc>
          <w:tcPr>
            <w:tcW w:w="1102" w:type="pct"/>
            <w:gridSpan w:val="3"/>
          </w:tcPr>
          <w:p w:rsidR="00106A2A" w:rsidRPr="00106A2A" w:rsidRDefault="00106A2A" w:rsidP="00106A2A">
            <w:pPr>
              <w:widowControl/>
              <w:rPr>
                <w:b/>
                <w:bCs/>
                <w:i/>
                <w:iCs/>
              </w:rPr>
            </w:pPr>
            <w:r w:rsidRPr="00106A2A">
              <w:rPr>
                <w:b/>
                <w:i/>
              </w:rPr>
              <w:t>MWh/годишно</w:t>
            </w:r>
          </w:p>
        </w:tc>
      </w:tr>
      <w:tr w:rsidR="00106A2A" w:rsidRPr="00106A2A" w:rsidTr="006919B6">
        <w:trPr>
          <w:trHeight w:val="2478"/>
        </w:trPr>
        <w:tc>
          <w:tcPr>
            <w:tcW w:w="506" w:type="pct"/>
            <w:gridSpan w:val="2"/>
          </w:tcPr>
          <w:p w:rsidR="00106A2A" w:rsidRPr="00106A2A" w:rsidRDefault="00106A2A" w:rsidP="00106A2A">
            <w:pPr>
              <w:widowControl/>
              <w:jc w:val="both"/>
              <w:rPr>
                <w:b/>
                <w:bCs/>
                <w:i/>
                <w:iCs/>
              </w:rPr>
            </w:pPr>
            <w:r w:rsidRPr="00106A2A">
              <w:rPr>
                <w:b/>
                <w:i/>
              </w:rPr>
              <w:t>15</w:t>
            </w:r>
          </w:p>
        </w:tc>
        <w:tc>
          <w:tcPr>
            <w:tcW w:w="1586" w:type="pct"/>
            <w:gridSpan w:val="2"/>
            <w:vMerge/>
          </w:tcPr>
          <w:p w:rsidR="00106A2A" w:rsidRPr="00106A2A" w:rsidRDefault="00106A2A" w:rsidP="00106A2A">
            <w:pPr>
              <w:widowControl/>
              <w:jc w:val="both"/>
              <w:rPr>
                <w:b/>
                <w:bCs/>
                <w:i/>
                <w:iCs/>
              </w:rPr>
            </w:pPr>
          </w:p>
        </w:tc>
        <w:tc>
          <w:tcPr>
            <w:tcW w:w="1806" w:type="pct"/>
            <w:gridSpan w:val="2"/>
            <w:vMerge/>
          </w:tcPr>
          <w:p w:rsidR="00106A2A" w:rsidRPr="00106A2A" w:rsidRDefault="00106A2A" w:rsidP="00106A2A">
            <w:pPr>
              <w:widowControl/>
              <w:jc w:val="both"/>
              <w:rPr>
                <w:b/>
                <w:bCs/>
                <w:i/>
                <w:iCs/>
              </w:rPr>
            </w:pPr>
          </w:p>
        </w:tc>
        <w:tc>
          <w:tcPr>
            <w:tcW w:w="1102" w:type="pct"/>
            <w:gridSpan w:val="3"/>
          </w:tcPr>
          <w:p w:rsidR="00106A2A" w:rsidRPr="00106A2A" w:rsidRDefault="00106A2A" w:rsidP="00106A2A">
            <w:pPr>
              <w:widowControl/>
              <w:rPr>
                <w:b/>
                <w:bCs/>
                <w:i/>
                <w:iCs/>
              </w:rPr>
            </w:pPr>
            <w:r w:rsidRPr="00106A2A">
              <w:rPr>
                <w:b/>
                <w:i/>
              </w:rPr>
              <w:t>kWh/m² (ако има разгъната застроена площ)</w:t>
            </w:r>
          </w:p>
        </w:tc>
      </w:tr>
      <w:tr w:rsidR="00106A2A" w:rsidRPr="00106A2A" w:rsidTr="006919B6">
        <w:trPr>
          <w:trHeight w:val="3330"/>
        </w:trPr>
        <w:tc>
          <w:tcPr>
            <w:tcW w:w="506" w:type="pct"/>
            <w:gridSpan w:val="2"/>
          </w:tcPr>
          <w:p w:rsidR="00106A2A" w:rsidRPr="00106A2A" w:rsidRDefault="00106A2A" w:rsidP="00106A2A">
            <w:pPr>
              <w:widowControl/>
              <w:jc w:val="both"/>
              <w:rPr>
                <w:b/>
                <w:bCs/>
                <w:i/>
                <w:iCs/>
              </w:rPr>
            </w:pPr>
            <w:r w:rsidRPr="00106A2A">
              <w:rPr>
                <w:b/>
                <w:i/>
              </w:rPr>
              <w:t>16</w:t>
            </w:r>
          </w:p>
        </w:tc>
        <w:tc>
          <w:tcPr>
            <w:tcW w:w="1586" w:type="pct"/>
            <w:gridSpan w:val="2"/>
            <w:vMerge w:val="restart"/>
          </w:tcPr>
          <w:p w:rsidR="00106A2A" w:rsidRPr="00106A2A" w:rsidRDefault="00106A2A" w:rsidP="00106A2A">
            <w:pPr>
              <w:widowControl/>
              <w:jc w:val="both"/>
              <w:rPr>
                <w:b/>
                <w:bCs/>
                <w:i/>
                <w:iCs/>
              </w:rPr>
            </w:pPr>
            <w:r w:rsidRPr="00106A2A">
              <w:rPr>
                <w:b/>
                <w:i/>
              </w:rPr>
              <w:t>Реализирани икономии в годишното крайно енергийно потребление</w:t>
            </w:r>
          </w:p>
        </w:tc>
        <w:tc>
          <w:tcPr>
            <w:tcW w:w="1806" w:type="pct"/>
            <w:gridSpan w:val="2"/>
            <w:vMerge/>
          </w:tcPr>
          <w:p w:rsidR="00106A2A" w:rsidRPr="00106A2A" w:rsidRDefault="00106A2A" w:rsidP="00106A2A">
            <w:pPr>
              <w:widowControl/>
              <w:jc w:val="both"/>
              <w:rPr>
                <w:b/>
                <w:bCs/>
                <w:i/>
                <w:iCs/>
              </w:rPr>
            </w:pPr>
          </w:p>
        </w:tc>
        <w:tc>
          <w:tcPr>
            <w:tcW w:w="1102" w:type="pct"/>
            <w:gridSpan w:val="3"/>
          </w:tcPr>
          <w:p w:rsidR="00106A2A" w:rsidRPr="00106A2A" w:rsidRDefault="00106A2A" w:rsidP="00106A2A">
            <w:pPr>
              <w:widowControl/>
              <w:rPr>
                <w:b/>
                <w:bCs/>
                <w:i/>
                <w:iCs/>
              </w:rPr>
            </w:pPr>
            <w:r w:rsidRPr="00106A2A">
              <w:rPr>
                <w:b/>
                <w:i/>
              </w:rPr>
              <w:t>kWh/m² (ако има разгъната застроена площ)</w:t>
            </w:r>
          </w:p>
        </w:tc>
      </w:tr>
      <w:tr w:rsidR="00106A2A" w:rsidRPr="00106A2A" w:rsidTr="006919B6">
        <w:trPr>
          <w:trHeight w:val="2178"/>
        </w:trPr>
        <w:tc>
          <w:tcPr>
            <w:tcW w:w="506" w:type="pct"/>
            <w:gridSpan w:val="2"/>
          </w:tcPr>
          <w:p w:rsidR="00106A2A" w:rsidRPr="00106A2A" w:rsidRDefault="00106A2A" w:rsidP="00106A2A">
            <w:pPr>
              <w:widowControl/>
              <w:jc w:val="both"/>
              <w:rPr>
                <w:b/>
                <w:bCs/>
                <w:i/>
                <w:iCs/>
              </w:rPr>
            </w:pPr>
            <w:r w:rsidRPr="00106A2A">
              <w:rPr>
                <w:b/>
                <w:i/>
              </w:rPr>
              <w:t>17</w:t>
            </w:r>
          </w:p>
        </w:tc>
        <w:tc>
          <w:tcPr>
            <w:tcW w:w="1586" w:type="pct"/>
            <w:gridSpan w:val="2"/>
            <w:vMerge/>
          </w:tcPr>
          <w:p w:rsidR="00106A2A" w:rsidRPr="00106A2A" w:rsidRDefault="00106A2A" w:rsidP="00106A2A">
            <w:pPr>
              <w:widowControl/>
              <w:jc w:val="both"/>
              <w:rPr>
                <w:b/>
                <w:bCs/>
                <w:i/>
                <w:iCs/>
              </w:rPr>
            </w:pPr>
          </w:p>
        </w:tc>
        <w:tc>
          <w:tcPr>
            <w:tcW w:w="1806" w:type="pct"/>
            <w:gridSpan w:val="2"/>
            <w:vMerge/>
          </w:tcPr>
          <w:p w:rsidR="00106A2A" w:rsidRPr="00106A2A" w:rsidRDefault="00106A2A" w:rsidP="00106A2A">
            <w:pPr>
              <w:widowControl/>
              <w:jc w:val="both"/>
              <w:rPr>
                <w:b/>
                <w:bCs/>
                <w:i/>
                <w:iCs/>
              </w:rPr>
            </w:pPr>
          </w:p>
        </w:tc>
        <w:tc>
          <w:tcPr>
            <w:tcW w:w="1102" w:type="pct"/>
            <w:gridSpan w:val="3"/>
          </w:tcPr>
          <w:p w:rsidR="00106A2A" w:rsidRPr="00106A2A" w:rsidRDefault="00106A2A" w:rsidP="00106A2A">
            <w:pPr>
              <w:widowControl/>
              <w:rPr>
                <w:b/>
                <w:bCs/>
                <w:i/>
                <w:iCs/>
              </w:rPr>
            </w:pPr>
            <w:r w:rsidRPr="00106A2A">
              <w:rPr>
                <w:b/>
                <w:i/>
              </w:rPr>
              <w:t>MWh/годишно</w:t>
            </w:r>
          </w:p>
        </w:tc>
      </w:tr>
      <w:tr w:rsidR="00106A2A" w:rsidRPr="00106A2A" w:rsidTr="006919B6">
        <w:trPr>
          <w:trHeight w:val="567"/>
        </w:trPr>
        <w:tc>
          <w:tcPr>
            <w:tcW w:w="5000" w:type="pct"/>
            <w:gridSpan w:val="9"/>
            <w:shd w:val="clear" w:color="auto" w:fill="D9D9D9"/>
            <w:vAlign w:val="center"/>
          </w:tcPr>
          <w:p w:rsidR="00106A2A" w:rsidRPr="00106A2A" w:rsidRDefault="00106A2A" w:rsidP="00106A2A">
            <w:pPr>
              <w:pageBreakBefore/>
              <w:widowControl/>
              <w:rPr>
                <w:b/>
                <w:bCs/>
                <w:i/>
                <w:iCs/>
              </w:rPr>
            </w:pPr>
            <w:r w:rsidRPr="00106A2A">
              <w:rPr>
                <w:b/>
                <w:i/>
              </w:rPr>
              <w:t>Сектор на автомобилния транспорт</w:t>
            </w:r>
          </w:p>
        </w:tc>
      </w:tr>
      <w:tr w:rsidR="00106A2A" w:rsidRPr="00106A2A" w:rsidTr="006919B6">
        <w:tc>
          <w:tcPr>
            <w:tcW w:w="5000" w:type="pct"/>
            <w:gridSpan w:val="9"/>
          </w:tcPr>
          <w:p w:rsidR="00106A2A" w:rsidRPr="00106A2A" w:rsidRDefault="00106A2A" w:rsidP="00106A2A">
            <w:pPr>
              <w:widowControl/>
              <w:jc w:val="both"/>
              <w:rPr>
                <w:b/>
                <w:bCs/>
                <w:i/>
                <w:iCs/>
                <w:u w:val="single"/>
              </w:rPr>
            </w:pPr>
            <w:r w:rsidRPr="00106A2A">
              <w:rPr>
                <w:b/>
                <w:i/>
                <w:u w:val="single"/>
              </w:rPr>
              <w:t>Показатели за контекста</w:t>
            </w:r>
          </w:p>
        </w:tc>
      </w:tr>
      <w:tr w:rsidR="00106A2A" w:rsidRPr="00106A2A" w:rsidTr="006919B6">
        <w:tc>
          <w:tcPr>
            <w:tcW w:w="506" w:type="pct"/>
            <w:gridSpan w:val="2"/>
          </w:tcPr>
          <w:p w:rsidR="00106A2A" w:rsidRPr="00106A2A" w:rsidRDefault="00106A2A" w:rsidP="00106A2A">
            <w:pPr>
              <w:widowControl/>
              <w:jc w:val="both"/>
              <w:rPr>
                <w:b/>
                <w:bCs/>
                <w:i/>
                <w:iCs/>
              </w:rPr>
            </w:pPr>
            <w:r w:rsidRPr="00106A2A">
              <w:rPr>
                <w:b/>
                <w:i/>
              </w:rPr>
              <w:t>18</w:t>
            </w:r>
          </w:p>
        </w:tc>
        <w:tc>
          <w:tcPr>
            <w:tcW w:w="1586" w:type="pct"/>
            <w:gridSpan w:val="2"/>
          </w:tcPr>
          <w:p w:rsidR="00106A2A" w:rsidRPr="00106A2A" w:rsidRDefault="00106A2A" w:rsidP="00106A2A">
            <w:pPr>
              <w:widowControl/>
              <w:jc w:val="both"/>
              <w:rPr>
                <w:b/>
                <w:bCs/>
                <w:i/>
                <w:iCs/>
              </w:rPr>
            </w:pPr>
            <w:r w:rsidRPr="00106A2A">
              <w:rPr>
                <w:b/>
                <w:i/>
              </w:rPr>
              <w:t>Брой на уязвимите ползватели на транспорт</w:t>
            </w:r>
          </w:p>
        </w:tc>
        <w:tc>
          <w:tcPr>
            <w:tcW w:w="1806" w:type="pct"/>
            <w:gridSpan w:val="2"/>
          </w:tcPr>
          <w:p w:rsidR="00106A2A" w:rsidRPr="00106A2A" w:rsidRDefault="00106A2A" w:rsidP="00106A2A">
            <w:pPr>
              <w:widowControl/>
              <w:jc w:val="both"/>
              <w:rPr>
                <w:b/>
                <w:bCs/>
                <w:i/>
                <w:iCs/>
              </w:rPr>
            </w:pPr>
            <w:r w:rsidRPr="00106A2A">
              <w:rPr>
                <w:b/>
                <w:i/>
              </w:rPr>
              <w:t>В съответствие с определението в член 2, точка 12.</w:t>
            </w:r>
          </w:p>
        </w:tc>
        <w:tc>
          <w:tcPr>
            <w:tcW w:w="1102" w:type="pct"/>
            <w:gridSpan w:val="3"/>
          </w:tcPr>
          <w:p w:rsidR="00106A2A" w:rsidRPr="00106A2A" w:rsidRDefault="00106A2A" w:rsidP="00106A2A">
            <w:pPr>
              <w:widowControl/>
              <w:jc w:val="both"/>
              <w:rPr>
                <w:b/>
                <w:bCs/>
                <w:i/>
                <w:iCs/>
              </w:rPr>
            </w:pPr>
            <w:r w:rsidRPr="00106A2A">
              <w:rPr>
                <w:b/>
                <w:i/>
              </w:rPr>
              <w:t>Брой домакинства</w:t>
            </w:r>
          </w:p>
        </w:tc>
      </w:tr>
      <w:tr w:rsidR="00106A2A" w:rsidRPr="00106A2A" w:rsidTr="006919B6">
        <w:tc>
          <w:tcPr>
            <w:tcW w:w="506" w:type="pct"/>
            <w:gridSpan w:val="2"/>
          </w:tcPr>
          <w:p w:rsidR="00106A2A" w:rsidRPr="00106A2A" w:rsidRDefault="00106A2A" w:rsidP="00106A2A">
            <w:pPr>
              <w:widowControl/>
              <w:jc w:val="both"/>
              <w:rPr>
                <w:b/>
                <w:bCs/>
                <w:i/>
                <w:iCs/>
              </w:rPr>
            </w:pPr>
            <w:r w:rsidRPr="00106A2A">
              <w:rPr>
                <w:b/>
                <w:i/>
              </w:rPr>
              <w:t>19</w:t>
            </w:r>
          </w:p>
        </w:tc>
        <w:tc>
          <w:tcPr>
            <w:tcW w:w="1586" w:type="pct"/>
            <w:gridSpan w:val="2"/>
          </w:tcPr>
          <w:p w:rsidR="00106A2A" w:rsidRPr="00106A2A" w:rsidRDefault="00106A2A" w:rsidP="00106A2A">
            <w:pPr>
              <w:widowControl/>
              <w:jc w:val="both"/>
              <w:rPr>
                <w:b/>
                <w:bCs/>
                <w:i/>
                <w:iCs/>
              </w:rPr>
            </w:pPr>
            <w:r w:rsidRPr="00106A2A">
              <w:rPr>
                <w:b/>
                <w:i/>
              </w:rPr>
              <w:t>Брой на домакинствата в транспортна бедност</w:t>
            </w:r>
          </w:p>
        </w:tc>
        <w:tc>
          <w:tcPr>
            <w:tcW w:w="1806" w:type="pct"/>
            <w:gridSpan w:val="2"/>
          </w:tcPr>
          <w:p w:rsidR="00106A2A" w:rsidRPr="00106A2A" w:rsidRDefault="00106A2A" w:rsidP="00106A2A">
            <w:pPr>
              <w:widowControl/>
              <w:jc w:val="both"/>
              <w:rPr>
                <w:b/>
                <w:bCs/>
                <w:i/>
                <w:iCs/>
              </w:rPr>
            </w:pPr>
            <w:r w:rsidRPr="00106A2A">
              <w:rPr>
                <w:b/>
                <w:i/>
              </w:rPr>
              <w:t>В съответствие с определението в член 2, точка 2.</w:t>
            </w:r>
          </w:p>
        </w:tc>
        <w:tc>
          <w:tcPr>
            <w:tcW w:w="1102" w:type="pct"/>
            <w:gridSpan w:val="3"/>
          </w:tcPr>
          <w:p w:rsidR="00106A2A" w:rsidRPr="00106A2A" w:rsidRDefault="00106A2A" w:rsidP="00106A2A">
            <w:pPr>
              <w:widowControl/>
              <w:jc w:val="both"/>
              <w:rPr>
                <w:b/>
                <w:bCs/>
                <w:i/>
                <w:iCs/>
              </w:rPr>
            </w:pPr>
            <w:r w:rsidRPr="00106A2A">
              <w:rPr>
                <w:b/>
                <w:i/>
              </w:rPr>
              <w:t>Брой домакинства</w:t>
            </w:r>
          </w:p>
        </w:tc>
      </w:tr>
      <w:tr w:rsidR="00106A2A" w:rsidRPr="00106A2A" w:rsidTr="006919B6">
        <w:tc>
          <w:tcPr>
            <w:tcW w:w="5000" w:type="pct"/>
            <w:gridSpan w:val="9"/>
          </w:tcPr>
          <w:p w:rsidR="00106A2A" w:rsidRPr="00106A2A" w:rsidRDefault="00106A2A" w:rsidP="00106A2A">
            <w:pPr>
              <w:widowControl/>
              <w:jc w:val="both"/>
              <w:rPr>
                <w:b/>
                <w:bCs/>
                <w:i/>
                <w:iCs/>
                <w:u w:val="single"/>
              </w:rPr>
            </w:pPr>
            <w:r w:rsidRPr="00106A2A">
              <w:rPr>
                <w:b/>
                <w:i/>
                <w:u w:val="single"/>
              </w:rPr>
              <w:t>Показатели за крайния продукт</w:t>
            </w:r>
          </w:p>
        </w:tc>
      </w:tr>
      <w:tr w:rsidR="00106A2A" w:rsidRPr="00106A2A" w:rsidTr="006919B6">
        <w:tc>
          <w:tcPr>
            <w:tcW w:w="506" w:type="pct"/>
            <w:gridSpan w:val="2"/>
          </w:tcPr>
          <w:p w:rsidR="00106A2A" w:rsidRPr="00106A2A" w:rsidRDefault="00106A2A" w:rsidP="00106A2A">
            <w:pPr>
              <w:widowControl/>
              <w:jc w:val="both"/>
              <w:rPr>
                <w:b/>
                <w:bCs/>
                <w:i/>
                <w:iCs/>
              </w:rPr>
            </w:pPr>
            <w:r w:rsidRPr="00106A2A">
              <w:rPr>
                <w:b/>
                <w:i/>
              </w:rPr>
              <w:t>20</w:t>
            </w:r>
          </w:p>
        </w:tc>
        <w:tc>
          <w:tcPr>
            <w:tcW w:w="1586" w:type="pct"/>
            <w:gridSpan w:val="2"/>
          </w:tcPr>
          <w:p w:rsidR="00106A2A" w:rsidRPr="00106A2A" w:rsidRDefault="00106A2A" w:rsidP="00106A2A">
            <w:pPr>
              <w:widowControl/>
              <w:jc w:val="both"/>
              <w:rPr>
                <w:b/>
                <w:bCs/>
                <w:i/>
                <w:iCs/>
              </w:rPr>
            </w:pPr>
            <w:r w:rsidRPr="00106A2A">
              <w:rPr>
                <w:b/>
                <w:i/>
              </w:rPr>
              <w:t>Брой на уязвимите ползватели на транспорт, които са се възползвали от поне една структурна мярка за намаление на техните емисии в сектора на автомобилния транспорт</w:t>
            </w:r>
          </w:p>
        </w:tc>
        <w:tc>
          <w:tcPr>
            <w:tcW w:w="1806" w:type="pct"/>
            <w:gridSpan w:val="2"/>
          </w:tcPr>
          <w:p w:rsidR="00106A2A" w:rsidRPr="00106A2A" w:rsidRDefault="00106A2A" w:rsidP="00106A2A">
            <w:pPr>
              <w:widowControl/>
              <w:jc w:val="both"/>
              <w:rPr>
                <w:b/>
                <w:bCs/>
                <w:i/>
                <w:iCs/>
              </w:rPr>
            </w:pPr>
            <w:r w:rsidRPr="00106A2A">
              <w:rPr>
                <w:b/>
                <w:i/>
              </w:rPr>
              <w:t>В съответствие с член 2, точка 12 и член 8, параграф 1. Само мерки, които се дължат на подкрепа по линия на Фонда.</w:t>
            </w:r>
          </w:p>
        </w:tc>
        <w:tc>
          <w:tcPr>
            <w:tcW w:w="1102" w:type="pct"/>
            <w:gridSpan w:val="3"/>
          </w:tcPr>
          <w:p w:rsidR="00106A2A" w:rsidRPr="00106A2A" w:rsidRDefault="00106A2A" w:rsidP="00106A2A">
            <w:pPr>
              <w:widowControl/>
              <w:jc w:val="both"/>
              <w:rPr>
                <w:b/>
                <w:bCs/>
                <w:i/>
                <w:iCs/>
              </w:rPr>
            </w:pPr>
            <w:r w:rsidRPr="00106A2A">
              <w:rPr>
                <w:b/>
                <w:i/>
              </w:rPr>
              <w:t>Брой домакинства</w:t>
            </w:r>
          </w:p>
        </w:tc>
      </w:tr>
      <w:tr w:rsidR="00106A2A" w:rsidRPr="00106A2A" w:rsidTr="006919B6">
        <w:tc>
          <w:tcPr>
            <w:tcW w:w="506" w:type="pct"/>
            <w:gridSpan w:val="2"/>
          </w:tcPr>
          <w:p w:rsidR="00106A2A" w:rsidRPr="00106A2A" w:rsidRDefault="00106A2A" w:rsidP="00106A2A">
            <w:pPr>
              <w:widowControl/>
              <w:jc w:val="both"/>
              <w:rPr>
                <w:b/>
                <w:bCs/>
                <w:i/>
                <w:iCs/>
              </w:rPr>
            </w:pPr>
            <w:r w:rsidRPr="00106A2A">
              <w:rPr>
                <w:b/>
                <w:i/>
              </w:rPr>
              <w:t>21</w:t>
            </w:r>
          </w:p>
        </w:tc>
        <w:tc>
          <w:tcPr>
            <w:tcW w:w="1586" w:type="pct"/>
            <w:gridSpan w:val="2"/>
          </w:tcPr>
          <w:p w:rsidR="00106A2A" w:rsidRPr="00106A2A" w:rsidRDefault="00106A2A" w:rsidP="00106A2A">
            <w:pPr>
              <w:widowControl/>
              <w:jc w:val="both"/>
              <w:rPr>
                <w:b/>
                <w:bCs/>
                <w:i/>
                <w:iCs/>
              </w:rPr>
            </w:pPr>
            <w:r w:rsidRPr="00106A2A">
              <w:rPr>
                <w:b/>
                <w:i/>
              </w:rPr>
              <w:t xml:space="preserve">Покупки на превозни средства с нулеви емисии </w:t>
            </w:r>
          </w:p>
        </w:tc>
        <w:tc>
          <w:tcPr>
            <w:tcW w:w="1806" w:type="pct"/>
            <w:gridSpan w:val="2"/>
          </w:tcPr>
          <w:p w:rsidR="00106A2A" w:rsidRPr="00106A2A" w:rsidRDefault="00106A2A" w:rsidP="00106A2A">
            <w:pPr>
              <w:widowControl/>
              <w:jc w:val="both"/>
              <w:rPr>
                <w:b/>
                <w:bCs/>
                <w:i/>
                <w:iCs/>
              </w:rPr>
            </w:pPr>
            <w:r w:rsidRPr="00106A2A">
              <w:rPr>
                <w:b/>
                <w:i/>
              </w:rPr>
              <w:t>Брой на превозните средства с нулеви емисии, подпомагани от мерки и инвестиции, финансирани по линия на Фонда.</w:t>
            </w:r>
          </w:p>
        </w:tc>
        <w:tc>
          <w:tcPr>
            <w:tcW w:w="1102" w:type="pct"/>
            <w:gridSpan w:val="3"/>
          </w:tcPr>
          <w:p w:rsidR="00106A2A" w:rsidRPr="00106A2A" w:rsidRDefault="00106A2A" w:rsidP="00106A2A">
            <w:pPr>
              <w:widowControl/>
              <w:jc w:val="both"/>
              <w:rPr>
                <w:b/>
                <w:bCs/>
                <w:i/>
                <w:iCs/>
              </w:rPr>
            </w:pPr>
            <w:r w:rsidRPr="00106A2A">
              <w:rPr>
                <w:b/>
                <w:i/>
              </w:rPr>
              <w:t>Дял на превозните средства с нулеви емисии</w:t>
            </w:r>
          </w:p>
        </w:tc>
      </w:tr>
      <w:tr w:rsidR="00106A2A" w:rsidRPr="00106A2A" w:rsidTr="006919B6">
        <w:tc>
          <w:tcPr>
            <w:tcW w:w="506" w:type="pct"/>
            <w:gridSpan w:val="2"/>
          </w:tcPr>
          <w:p w:rsidR="00106A2A" w:rsidRPr="00106A2A" w:rsidRDefault="00106A2A" w:rsidP="00106A2A">
            <w:pPr>
              <w:widowControl/>
              <w:jc w:val="both"/>
              <w:rPr>
                <w:b/>
                <w:bCs/>
                <w:i/>
                <w:iCs/>
              </w:rPr>
            </w:pPr>
            <w:r w:rsidRPr="00106A2A">
              <w:rPr>
                <w:b/>
                <w:i/>
              </w:rPr>
              <w:t>22</w:t>
            </w:r>
          </w:p>
        </w:tc>
        <w:tc>
          <w:tcPr>
            <w:tcW w:w="1586" w:type="pct"/>
            <w:gridSpan w:val="2"/>
          </w:tcPr>
          <w:p w:rsidR="00106A2A" w:rsidRPr="00106A2A" w:rsidRDefault="00106A2A" w:rsidP="00106A2A">
            <w:pPr>
              <w:widowControl/>
              <w:jc w:val="both"/>
              <w:rPr>
                <w:b/>
                <w:bCs/>
                <w:i/>
                <w:iCs/>
              </w:rPr>
            </w:pPr>
            <w:r w:rsidRPr="00106A2A">
              <w:rPr>
                <w:b/>
                <w:i/>
              </w:rPr>
              <w:t>Покупки на превозни средства с ниски емисии</w:t>
            </w:r>
          </w:p>
        </w:tc>
        <w:tc>
          <w:tcPr>
            <w:tcW w:w="1806" w:type="pct"/>
            <w:gridSpan w:val="2"/>
          </w:tcPr>
          <w:p w:rsidR="00106A2A" w:rsidRPr="00106A2A" w:rsidRDefault="00106A2A" w:rsidP="00106A2A">
            <w:pPr>
              <w:widowControl/>
              <w:jc w:val="both"/>
              <w:rPr>
                <w:b/>
                <w:bCs/>
                <w:i/>
                <w:iCs/>
              </w:rPr>
            </w:pPr>
            <w:r w:rsidRPr="00106A2A">
              <w:rPr>
                <w:b/>
                <w:i/>
              </w:rPr>
              <w:t>Брой на превозните средства с ниски емисии, подпомагани от мерки и инвестиции, финансирани по линия на Фонда.</w:t>
            </w:r>
          </w:p>
          <w:p w:rsidR="00106A2A" w:rsidRPr="00106A2A" w:rsidRDefault="00106A2A" w:rsidP="00106A2A">
            <w:pPr>
              <w:widowControl/>
              <w:jc w:val="both"/>
              <w:rPr>
                <w:b/>
                <w:bCs/>
                <w:i/>
                <w:iCs/>
              </w:rPr>
            </w:pPr>
          </w:p>
        </w:tc>
        <w:tc>
          <w:tcPr>
            <w:tcW w:w="1102" w:type="pct"/>
            <w:gridSpan w:val="3"/>
          </w:tcPr>
          <w:p w:rsidR="00106A2A" w:rsidRPr="00106A2A" w:rsidRDefault="00106A2A" w:rsidP="00106A2A">
            <w:pPr>
              <w:widowControl/>
              <w:jc w:val="both"/>
              <w:rPr>
                <w:b/>
                <w:bCs/>
                <w:i/>
                <w:iCs/>
              </w:rPr>
            </w:pPr>
            <w:r w:rsidRPr="00106A2A">
              <w:rPr>
                <w:b/>
                <w:i/>
              </w:rPr>
              <w:t>Брой на превозните средства с ниски емисии</w:t>
            </w:r>
          </w:p>
        </w:tc>
      </w:tr>
      <w:tr w:rsidR="00106A2A" w:rsidRPr="00106A2A" w:rsidTr="006919B6">
        <w:tc>
          <w:tcPr>
            <w:tcW w:w="506" w:type="pct"/>
            <w:gridSpan w:val="2"/>
          </w:tcPr>
          <w:p w:rsidR="00106A2A" w:rsidRPr="00106A2A" w:rsidRDefault="00106A2A" w:rsidP="00106A2A">
            <w:pPr>
              <w:widowControl/>
              <w:jc w:val="both"/>
              <w:rPr>
                <w:b/>
                <w:bCs/>
                <w:i/>
                <w:iCs/>
              </w:rPr>
            </w:pPr>
            <w:r w:rsidRPr="00106A2A">
              <w:rPr>
                <w:b/>
                <w:i/>
              </w:rPr>
              <w:t>23</w:t>
            </w:r>
          </w:p>
        </w:tc>
        <w:tc>
          <w:tcPr>
            <w:tcW w:w="1586" w:type="pct"/>
            <w:gridSpan w:val="2"/>
          </w:tcPr>
          <w:p w:rsidR="00106A2A" w:rsidRPr="00106A2A" w:rsidRDefault="00106A2A" w:rsidP="00106A2A">
            <w:pPr>
              <w:widowControl/>
              <w:jc w:val="both"/>
              <w:rPr>
                <w:b/>
                <w:bCs/>
                <w:i/>
                <w:iCs/>
              </w:rPr>
            </w:pPr>
            <w:r w:rsidRPr="00106A2A">
              <w:rPr>
                <w:b/>
                <w:i/>
              </w:rPr>
              <w:t xml:space="preserve">Закупуване на велосипеди и превозни средства за микромобилност </w:t>
            </w:r>
          </w:p>
        </w:tc>
        <w:tc>
          <w:tcPr>
            <w:tcW w:w="1806" w:type="pct"/>
            <w:gridSpan w:val="2"/>
          </w:tcPr>
          <w:p w:rsidR="00106A2A" w:rsidRPr="00106A2A" w:rsidRDefault="00106A2A" w:rsidP="00106A2A">
            <w:pPr>
              <w:widowControl/>
              <w:jc w:val="both"/>
              <w:rPr>
                <w:b/>
                <w:bCs/>
                <w:i/>
                <w:iCs/>
              </w:rPr>
            </w:pPr>
            <w:r w:rsidRPr="00106A2A">
              <w:rPr>
                <w:b/>
                <w:i/>
              </w:rPr>
              <w:t>Брой велосипеди и превозни средства за микромобилност, подпомагани от мерки и инвестиции, финансирани по линия на Фонда.</w:t>
            </w:r>
          </w:p>
          <w:p w:rsidR="00106A2A" w:rsidRPr="00106A2A" w:rsidRDefault="00106A2A" w:rsidP="00106A2A">
            <w:pPr>
              <w:widowControl/>
              <w:jc w:val="both"/>
              <w:rPr>
                <w:b/>
                <w:bCs/>
                <w:i/>
                <w:iCs/>
              </w:rPr>
            </w:pPr>
          </w:p>
        </w:tc>
        <w:tc>
          <w:tcPr>
            <w:tcW w:w="1102" w:type="pct"/>
            <w:gridSpan w:val="3"/>
          </w:tcPr>
          <w:p w:rsidR="00106A2A" w:rsidRPr="00106A2A" w:rsidRDefault="00106A2A" w:rsidP="00106A2A">
            <w:pPr>
              <w:widowControl/>
              <w:jc w:val="both"/>
              <w:rPr>
                <w:b/>
                <w:bCs/>
                <w:i/>
                <w:iCs/>
              </w:rPr>
            </w:pPr>
            <w:r w:rsidRPr="00106A2A">
              <w:rPr>
                <w:b/>
                <w:i/>
              </w:rPr>
              <w:t>Брой велосипеди и превозни средства за микромобилност</w:t>
            </w:r>
          </w:p>
        </w:tc>
      </w:tr>
      <w:tr w:rsidR="00106A2A" w:rsidRPr="00106A2A" w:rsidTr="006919B6">
        <w:tc>
          <w:tcPr>
            <w:tcW w:w="506" w:type="pct"/>
            <w:gridSpan w:val="2"/>
          </w:tcPr>
          <w:p w:rsidR="00106A2A" w:rsidRPr="00106A2A" w:rsidRDefault="00106A2A" w:rsidP="00106A2A">
            <w:pPr>
              <w:widowControl/>
              <w:jc w:val="both"/>
              <w:rPr>
                <w:b/>
                <w:bCs/>
                <w:i/>
                <w:iCs/>
              </w:rPr>
            </w:pPr>
            <w:r w:rsidRPr="00106A2A">
              <w:rPr>
                <w:b/>
                <w:i/>
              </w:rPr>
              <w:t>24</w:t>
            </w:r>
          </w:p>
        </w:tc>
        <w:tc>
          <w:tcPr>
            <w:tcW w:w="1586" w:type="pct"/>
            <w:gridSpan w:val="2"/>
          </w:tcPr>
          <w:p w:rsidR="00106A2A" w:rsidRPr="00106A2A" w:rsidRDefault="00106A2A" w:rsidP="00106A2A">
            <w:pPr>
              <w:widowControl/>
              <w:jc w:val="both"/>
              <w:rPr>
                <w:b/>
                <w:bCs/>
                <w:i/>
                <w:iCs/>
              </w:rPr>
            </w:pPr>
            <w:r w:rsidRPr="00106A2A">
              <w:rPr>
                <w:b/>
                <w:i/>
              </w:rPr>
              <w:t>Допълнителна инфраструктура за алтернативни горива (точки за презареждане с гориво/зарядни точки)</w:t>
            </w:r>
          </w:p>
          <w:p w:rsidR="00106A2A" w:rsidRPr="00106A2A" w:rsidRDefault="00106A2A" w:rsidP="00106A2A">
            <w:pPr>
              <w:widowControl/>
              <w:jc w:val="both"/>
              <w:rPr>
                <w:b/>
                <w:bCs/>
                <w:i/>
                <w:iCs/>
              </w:rPr>
            </w:pPr>
          </w:p>
        </w:tc>
        <w:tc>
          <w:tcPr>
            <w:tcW w:w="1806" w:type="pct"/>
            <w:gridSpan w:val="2"/>
          </w:tcPr>
          <w:p w:rsidR="00106A2A" w:rsidRPr="00106A2A" w:rsidRDefault="00106A2A" w:rsidP="00106A2A">
            <w:pPr>
              <w:widowControl/>
              <w:jc w:val="both"/>
              <w:rPr>
                <w:b/>
                <w:bCs/>
                <w:i/>
                <w:iCs/>
              </w:rPr>
            </w:pPr>
            <w:r w:rsidRPr="00106A2A">
              <w:rPr>
                <w:b/>
                <w:i/>
              </w:rPr>
              <w:t>Брой точки за презареждане с гориво и зарядни точки (нови или модернизирани) за превозни средства с нулеви и ниски емисии, подпомагани от мерки и инвестиции, финансирани по линия на Фонда, с допълнителен акцент върху отдалечените райони.</w:t>
            </w:r>
          </w:p>
          <w:p w:rsidR="00106A2A" w:rsidRPr="00106A2A" w:rsidRDefault="00106A2A" w:rsidP="00106A2A">
            <w:pPr>
              <w:widowControl/>
              <w:jc w:val="both"/>
              <w:rPr>
                <w:b/>
                <w:bCs/>
                <w:i/>
                <w:iCs/>
              </w:rPr>
            </w:pPr>
          </w:p>
          <w:p w:rsidR="00106A2A" w:rsidRPr="00106A2A" w:rsidRDefault="00106A2A" w:rsidP="00106A2A">
            <w:pPr>
              <w:widowControl/>
              <w:jc w:val="both"/>
              <w:rPr>
                <w:b/>
                <w:bCs/>
                <w:i/>
                <w:iCs/>
              </w:rPr>
            </w:pPr>
            <w:r w:rsidRPr="00106A2A">
              <w:rPr>
                <w:b/>
                <w:i/>
              </w:rPr>
              <w:t>Термините „алтернативно гориво“, „зарядна точка“ и „точка за презареждане с гориво“ имат същото значение като определенията на тези термини в Регламента на Европейския парламент и на Съвета за разгръщането на инфраструктура за алтернативни горива и за отмяна на Директива 2014/94/ЕС на Европейския парламент и на Съвета.</w:t>
            </w:r>
          </w:p>
          <w:p w:rsidR="00106A2A" w:rsidRPr="00106A2A" w:rsidRDefault="00106A2A" w:rsidP="00106A2A">
            <w:pPr>
              <w:widowControl/>
              <w:jc w:val="both"/>
              <w:rPr>
                <w:b/>
                <w:bCs/>
                <w:i/>
                <w:iCs/>
              </w:rPr>
            </w:pPr>
          </w:p>
          <w:p w:rsidR="00106A2A" w:rsidRPr="00106A2A" w:rsidRDefault="00106A2A" w:rsidP="00106A2A">
            <w:pPr>
              <w:widowControl/>
              <w:jc w:val="both"/>
              <w:rPr>
                <w:b/>
                <w:bCs/>
                <w:i/>
                <w:iCs/>
              </w:rPr>
            </w:pPr>
            <w:r w:rsidRPr="00106A2A">
              <w:rPr>
                <w:b/>
                <w:i/>
              </w:rPr>
              <w:t>Данните за показателя се събират и докладват отделно за i) зарядни точки; и ii) точки за презареждане с гориво.</w:t>
            </w:r>
          </w:p>
          <w:p w:rsidR="00106A2A" w:rsidRPr="00106A2A" w:rsidRDefault="00106A2A" w:rsidP="00106A2A">
            <w:pPr>
              <w:widowControl/>
              <w:jc w:val="both"/>
              <w:rPr>
                <w:b/>
                <w:bCs/>
                <w:i/>
                <w:iCs/>
              </w:rPr>
            </w:pPr>
          </w:p>
          <w:p w:rsidR="00106A2A" w:rsidRPr="00106A2A" w:rsidRDefault="00106A2A" w:rsidP="00106A2A">
            <w:pPr>
              <w:widowControl/>
              <w:jc w:val="both"/>
              <w:rPr>
                <w:b/>
                <w:bCs/>
                <w:i/>
                <w:iCs/>
              </w:rPr>
            </w:pPr>
            <w:r w:rsidRPr="00106A2A">
              <w:rPr>
                <w:b/>
                <w:i/>
              </w:rPr>
              <w:t>Като част от последните iii) точките за презареждане с водород се докладват отделно.</w:t>
            </w:r>
          </w:p>
        </w:tc>
        <w:tc>
          <w:tcPr>
            <w:tcW w:w="1102" w:type="pct"/>
            <w:gridSpan w:val="3"/>
          </w:tcPr>
          <w:p w:rsidR="00106A2A" w:rsidRPr="00106A2A" w:rsidRDefault="00106A2A" w:rsidP="00106A2A">
            <w:pPr>
              <w:widowControl/>
              <w:jc w:val="both"/>
              <w:rPr>
                <w:b/>
                <w:bCs/>
                <w:i/>
                <w:iCs/>
              </w:rPr>
            </w:pPr>
            <w:r w:rsidRPr="00106A2A">
              <w:rPr>
                <w:b/>
                <w:i/>
              </w:rPr>
              <w:t>Брой точки за презареждане с гориво и зарядни точки</w:t>
            </w:r>
          </w:p>
        </w:tc>
      </w:tr>
      <w:tr w:rsidR="00106A2A" w:rsidRPr="00106A2A" w:rsidTr="006919B6">
        <w:tc>
          <w:tcPr>
            <w:tcW w:w="506" w:type="pct"/>
            <w:gridSpan w:val="2"/>
          </w:tcPr>
          <w:p w:rsidR="00106A2A" w:rsidRPr="00106A2A" w:rsidRDefault="00106A2A" w:rsidP="00106A2A">
            <w:pPr>
              <w:pageBreakBefore/>
              <w:widowControl/>
              <w:jc w:val="both"/>
              <w:rPr>
                <w:b/>
                <w:bCs/>
                <w:i/>
                <w:iCs/>
              </w:rPr>
            </w:pPr>
            <w:r w:rsidRPr="00106A2A">
              <w:rPr>
                <w:b/>
                <w:i/>
              </w:rPr>
              <w:t>25</w:t>
            </w:r>
          </w:p>
        </w:tc>
        <w:tc>
          <w:tcPr>
            <w:tcW w:w="1586" w:type="pct"/>
            <w:gridSpan w:val="2"/>
          </w:tcPr>
          <w:p w:rsidR="00106A2A" w:rsidRPr="00106A2A" w:rsidRDefault="00106A2A" w:rsidP="00106A2A">
            <w:pPr>
              <w:widowControl/>
              <w:jc w:val="both"/>
              <w:rPr>
                <w:b/>
                <w:bCs/>
                <w:i/>
                <w:iCs/>
              </w:rPr>
            </w:pPr>
            <w:r w:rsidRPr="00106A2A">
              <w:rPr>
                <w:b/>
                <w:i/>
              </w:rPr>
              <w:t>Намалени или безплатни билети за обществен транспорт</w:t>
            </w:r>
          </w:p>
        </w:tc>
        <w:tc>
          <w:tcPr>
            <w:tcW w:w="1806" w:type="pct"/>
            <w:gridSpan w:val="2"/>
          </w:tcPr>
          <w:p w:rsidR="00106A2A" w:rsidRPr="00106A2A" w:rsidRDefault="00106A2A" w:rsidP="00106A2A">
            <w:pPr>
              <w:widowControl/>
              <w:jc w:val="both"/>
              <w:rPr>
                <w:b/>
                <w:bCs/>
                <w:i/>
                <w:iCs/>
              </w:rPr>
            </w:pPr>
            <w:r w:rsidRPr="00106A2A">
              <w:rPr>
                <w:b/>
                <w:i/>
              </w:rPr>
              <w:t>Брой на ползвателите на обществен транспорт, подпомагани от мерки и инвестиции, финансирани по линия на Фонда.</w:t>
            </w:r>
          </w:p>
          <w:p w:rsidR="00106A2A" w:rsidRPr="00106A2A" w:rsidRDefault="00106A2A" w:rsidP="00106A2A">
            <w:pPr>
              <w:widowControl/>
              <w:jc w:val="both"/>
              <w:rPr>
                <w:b/>
                <w:bCs/>
                <w:i/>
                <w:iCs/>
              </w:rPr>
            </w:pPr>
            <w:r w:rsidRPr="00106A2A">
              <w:rPr>
                <w:b/>
                <w:i/>
              </w:rPr>
              <w:t>Данните за показателя се събират и отчитат отделно за i) намалени; и ii) безплатни билети.</w:t>
            </w:r>
          </w:p>
        </w:tc>
        <w:tc>
          <w:tcPr>
            <w:tcW w:w="1102" w:type="pct"/>
            <w:gridSpan w:val="3"/>
          </w:tcPr>
          <w:p w:rsidR="00106A2A" w:rsidRPr="00106A2A" w:rsidRDefault="00106A2A" w:rsidP="00106A2A">
            <w:pPr>
              <w:widowControl/>
              <w:jc w:val="both"/>
              <w:rPr>
                <w:b/>
                <w:bCs/>
                <w:i/>
                <w:iCs/>
              </w:rPr>
            </w:pPr>
            <w:r w:rsidRPr="00106A2A">
              <w:rPr>
                <w:b/>
                <w:i/>
              </w:rPr>
              <w:t>Брой ползватели</w:t>
            </w:r>
          </w:p>
        </w:tc>
      </w:tr>
      <w:tr w:rsidR="00106A2A" w:rsidRPr="00106A2A" w:rsidTr="006919B6">
        <w:trPr>
          <w:trHeight w:val="558"/>
        </w:trPr>
        <w:tc>
          <w:tcPr>
            <w:tcW w:w="506" w:type="pct"/>
            <w:gridSpan w:val="2"/>
          </w:tcPr>
          <w:p w:rsidR="00106A2A" w:rsidRPr="00106A2A" w:rsidRDefault="00106A2A" w:rsidP="00106A2A">
            <w:pPr>
              <w:widowControl/>
              <w:jc w:val="both"/>
              <w:rPr>
                <w:b/>
                <w:bCs/>
                <w:i/>
                <w:iCs/>
              </w:rPr>
            </w:pPr>
            <w:r w:rsidRPr="00106A2A">
              <w:rPr>
                <w:b/>
                <w:i/>
              </w:rPr>
              <w:t>26</w:t>
            </w:r>
          </w:p>
        </w:tc>
        <w:tc>
          <w:tcPr>
            <w:tcW w:w="1586" w:type="pct"/>
            <w:gridSpan w:val="2"/>
            <w:vMerge w:val="restart"/>
          </w:tcPr>
          <w:p w:rsidR="00106A2A" w:rsidRPr="00106A2A" w:rsidRDefault="00106A2A" w:rsidP="00106A2A">
            <w:pPr>
              <w:widowControl/>
              <w:jc w:val="both"/>
              <w:rPr>
                <w:b/>
                <w:bCs/>
                <w:i/>
                <w:iCs/>
              </w:rPr>
            </w:pPr>
            <w:r w:rsidRPr="00106A2A">
              <w:rPr>
                <w:b/>
                <w:i/>
              </w:rPr>
              <w:t>Допълнителни решения за споделена мобилност и мобилност по заявка</w:t>
            </w:r>
          </w:p>
        </w:tc>
        <w:tc>
          <w:tcPr>
            <w:tcW w:w="1806" w:type="pct"/>
            <w:gridSpan w:val="2"/>
            <w:vMerge w:val="restart"/>
          </w:tcPr>
          <w:p w:rsidR="00106A2A" w:rsidRPr="00106A2A" w:rsidRDefault="00106A2A" w:rsidP="00106A2A">
            <w:pPr>
              <w:widowControl/>
              <w:jc w:val="both"/>
              <w:rPr>
                <w:b/>
                <w:bCs/>
                <w:i/>
                <w:iCs/>
              </w:rPr>
            </w:pPr>
            <w:r w:rsidRPr="00106A2A">
              <w:rPr>
                <w:b/>
                <w:i/>
              </w:rPr>
              <w:t>Брой на ползвателите на решения за споделена мобилност и мобилност по заявка, подпомагани от мерки и инвестиции, финансирани по линия на Фонда.</w:t>
            </w:r>
          </w:p>
        </w:tc>
        <w:tc>
          <w:tcPr>
            <w:tcW w:w="1102" w:type="pct"/>
            <w:gridSpan w:val="3"/>
          </w:tcPr>
          <w:p w:rsidR="00106A2A" w:rsidRPr="00106A2A" w:rsidRDefault="00106A2A" w:rsidP="00106A2A">
            <w:pPr>
              <w:widowControl/>
              <w:jc w:val="both"/>
              <w:rPr>
                <w:b/>
                <w:bCs/>
                <w:i/>
                <w:iCs/>
              </w:rPr>
            </w:pPr>
            <w:r w:rsidRPr="00106A2A">
              <w:rPr>
                <w:b/>
                <w:i/>
              </w:rPr>
              <w:t xml:space="preserve">Брой ползватели </w:t>
            </w:r>
          </w:p>
        </w:tc>
      </w:tr>
      <w:tr w:rsidR="00106A2A" w:rsidRPr="00106A2A" w:rsidTr="006919B6">
        <w:trPr>
          <w:trHeight w:val="558"/>
        </w:trPr>
        <w:tc>
          <w:tcPr>
            <w:tcW w:w="506" w:type="pct"/>
            <w:gridSpan w:val="2"/>
          </w:tcPr>
          <w:p w:rsidR="00106A2A" w:rsidRPr="00106A2A" w:rsidRDefault="00106A2A" w:rsidP="00106A2A">
            <w:pPr>
              <w:widowControl/>
              <w:jc w:val="both"/>
              <w:rPr>
                <w:b/>
                <w:bCs/>
                <w:i/>
                <w:iCs/>
              </w:rPr>
            </w:pPr>
            <w:r w:rsidRPr="00106A2A">
              <w:rPr>
                <w:b/>
                <w:i/>
              </w:rPr>
              <w:t>27</w:t>
            </w:r>
          </w:p>
        </w:tc>
        <w:tc>
          <w:tcPr>
            <w:tcW w:w="1586" w:type="pct"/>
            <w:gridSpan w:val="2"/>
            <w:vMerge/>
          </w:tcPr>
          <w:p w:rsidR="00106A2A" w:rsidRPr="00106A2A" w:rsidRDefault="00106A2A" w:rsidP="00106A2A">
            <w:pPr>
              <w:widowControl/>
              <w:jc w:val="both"/>
              <w:rPr>
                <w:b/>
                <w:bCs/>
                <w:i/>
                <w:iCs/>
              </w:rPr>
            </w:pPr>
          </w:p>
        </w:tc>
        <w:tc>
          <w:tcPr>
            <w:tcW w:w="1806" w:type="pct"/>
            <w:gridSpan w:val="2"/>
            <w:vMerge/>
          </w:tcPr>
          <w:p w:rsidR="00106A2A" w:rsidRPr="00106A2A" w:rsidRDefault="00106A2A" w:rsidP="00106A2A">
            <w:pPr>
              <w:widowControl/>
              <w:jc w:val="both"/>
              <w:rPr>
                <w:b/>
                <w:bCs/>
                <w:i/>
                <w:iCs/>
              </w:rPr>
            </w:pPr>
          </w:p>
        </w:tc>
        <w:tc>
          <w:tcPr>
            <w:tcW w:w="1102" w:type="pct"/>
            <w:gridSpan w:val="3"/>
          </w:tcPr>
          <w:p w:rsidR="00106A2A" w:rsidRPr="00106A2A" w:rsidRDefault="00106A2A" w:rsidP="00106A2A">
            <w:pPr>
              <w:widowControl/>
              <w:jc w:val="both"/>
              <w:rPr>
                <w:b/>
                <w:bCs/>
                <w:i/>
                <w:iCs/>
              </w:rPr>
            </w:pPr>
            <w:r w:rsidRPr="00106A2A">
              <w:rPr>
                <w:b/>
                <w:i/>
              </w:rPr>
              <w:t>Единици</w:t>
            </w:r>
          </w:p>
        </w:tc>
      </w:tr>
      <w:tr w:rsidR="00106A2A" w:rsidRPr="00106A2A" w:rsidTr="006919B6">
        <w:trPr>
          <w:trHeight w:val="558"/>
        </w:trPr>
        <w:tc>
          <w:tcPr>
            <w:tcW w:w="506" w:type="pct"/>
            <w:gridSpan w:val="2"/>
          </w:tcPr>
          <w:p w:rsidR="00106A2A" w:rsidRPr="00106A2A" w:rsidRDefault="00106A2A" w:rsidP="00106A2A">
            <w:pPr>
              <w:widowControl/>
              <w:jc w:val="both"/>
              <w:rPr>
                <w:b/>
                <w:bCs/>
                <w:i/>
                <w:iCs/>
              </w:rPr>
            </w:pPr>
            <w:r w:rsidRPr="00106A2A">
              <w:rPr>
                <w:b/>
                <w:i/>
              </w:rPr>
              <w:t>28</w:t>
            </w:r>
          </w:p>
        </w:tc>
        <w:tc>
          <w:tcPr>
            <w:tcW w:w="1586" w:type="pct"/>
            <w:gridSpan w:val="2"/>
          </w:tcPr>
          <w:p w:rsidR="00106A2A" w:rsidRPr="00106A2A" w:rsidRDefault="00106A2A" w:rsidP="00106A2A">
            <w:pPr>
              <w:widowControl/>
              <w:jc w:val="both"/>
              <w:rPr>
                <w:b/>
                <w:bCs/>
                <w:i/>
                <w:iCs/>
              </w:rPr>
            </w:pPr>
            <w:r w:rsidRPr="00106A2A">
              <w:rPr>
                <w:b/>
                <w:i/>
              </w:rPr>
              <w:t>Специализирана велосипедна инфраструктура, за която се отпуска подпомагане</w:t>
            </w:r>
          </w:p>
        </w:tc>
        <w:tc>
          <w:tcPr>
            <w:tcW w:w="1806" w:type="pct"/>
            <w:gridSpan w:val="2"/>
          </w:tcPr>
          <w:p w:rsidR="00106A2A" w:rsidRPr="00106A2A" w:rsidRDefault="00106A2A" w:rsidP="00106A2A">
            <w:pPr>
              <w:widowControl/>
              <w:jc w:val="both"/>
              <w:rPr>
                <w:b/>
                <w:bCs/>
                <w:i/>
                <w:iCs/>
              </w:rPr>
            </w:pPr>
            <w:r w:rsidRPr="00106A2A">
              <w:rPr>
                <w:b/>
                <w:i/>
              </w:rPr>
              <w:t>Дължина на специалната велосипедна инфраструктура, новопостроена или значително модернизирана по проекти, подпомагани по линия на Фонда. Специалната велосипедна инфраструктура включва велосипедни съоръжения, отделени от пътищата за движение на превозни средства или други части от същия път чрез структурни средства (като бордюри и прегради), велосипедни улици, велосипедни тунели и други. За велосипедна инфраструктура с отделни еднопосочни ленти (например от всяка страна на пътя) дължината се измерва като дължина на лентата за движение.</w:t>
            </w:r>
          </w:p>
        </w:tc>
        <w:tc>
          <w:tcPr>
            <w:tcW w:w="1102" w:type="pct"/>
            <w:gridSpan w:val="3"/>
          </w:tcPr>
          <w:p w:rsidR="00106A2A" w:rsidRPr="00106A2A" w:rsidRDefault="00106A2A" w:rsidP="00106A2A">
            <w:pPr>
              <w:widowControl/>
              <w:jc w:val="both"/>
              <w:rPr>
                <w:b/>
                <w:bCs/>
                <w:i/>
                <w:iCs/>
              </w:rPr>
            </w:pPr>
            <w:r w:rsidRPr="00106A2A">
              <w:rPr>
                <w:b/>
                <w:i/>
              </w:rPr>
              <w:t>Брой километри</w:t>
            </w:r>
          </w:p>
        </w:tc>
      </w:tr>
      <w:tr w:rsidR="00106A2A" w:rsidRPr="00106A2A" w:rsidTr="006919B6">
        <w:tc>
          <w:tcPr>
            <w:tcW w:w="5000" w:type="pct"/>
            <w:gridSpan w:val="9"/>
          </w:tcPr>
          <w:p w:rsidR="00106A2A" w:rsidRPr="00106A2A" w:rsidRDefault="00106A2A" w:rsidP="00106A2A">
            <w:pPr>
              <w:widowControl/>
              <w:jc w:val="both"/>
              <w:rPr>
                <w:b/>
                <w:bCs/>
                <w:i/>
                <w:iCs/>
                <w:u w:val="single"/>
              </w:rPr>
            </w:pPr>
            <w:r w:rsidRPr="00106A2A">
              <w:rPr>
                <w:b/>
                <w:i/>
                <w:u w:val="single"/>
              </w:rPr>
              <w:t>Показатели за резултатите</w:t>
            </w:r>
          </w:p>
        </w:tc>
      </w:tr>
      <w:tr w:rsidR="00106A2A" w:rsidRPr="00106A2A" w:rsidTr="006919B6">
        <w:trPr>
          <w:trHeight w:val="435"/>
        </w:trPr>
        <w:tc>
          <w:tcPr>
            <w:tcW w:w="506" w:type="pct"/>
            <w:gridSpan w:val="2"/>
          </w:tcPr>
          <w:p w:rsidR="00106A2A" w:rsidRPr="00106A2A" w:rsidRDefault="00106A2A" w:rsidP="00106A2A">
            <w:pPr>
              <w:widowControl/>
              <w:jc w:val="both"/>
              <w:rPr>
                <w:b/>
                <w:bCs/>
                <w:i/>
                <w:iCs/>
              </w:rPr>
            </w:pPr>
            <w:r w:rsidRPr="00106A2A">
              <w:rPr>
                <w:b/>
                <w:i/>
              </w:rPr>
              <w:t>29</w:t>
            </w:r>
          </w:p>
        </w:tc>
        <w:tc>
          <w:tcPr>
            <w:tcW w:w="1586" w:type="pct"/>
            <w:gridSpan w:val="2"/>
          </w:tcPr>
          <w:p w:rsidR="00106A2A" w:rsidRPr="00106A2A" w:rsidRDefault="00106A2A" w:rsidP="00106A2A">
            <w:pPr>
              <w:widowControl/>
              <w:jc w:val="both"/>
              <w:rPr>
                <w:b/>
                <w:bCs/>
                <w:i/>
                <w:iCs/>
              </w:rPr>
            </w:pPr>
            <w:r w:rsidRPr="00106A2A">
              <w:rPr>
                <w:b/>
                <w:i/>
              </w:rPr>
              <w:t>Намаляване на броя на уязвимите ползватели на транспорт</w:t>
            </w:r>
          </w:p>
        </w:tc>
        <w:tc>
          <w:tcPr>
            <w:tcW w:w="1806" w:type="pct"/>
            <w:gridSpan w:val="2"/>
          </w:tcPr>
          <w:p w:rsidR="00106A2A" w:rsidRPr="00106A2A" w:rsidRDefault="00106A2A" w:rsidP="00106A2A">
            <w:pPr>
              <w:widowControl/>
              <w:jc w:val="both"/>
              <w:rPr>
                <w:b/>
                <w:bCs/>
                <w:i/>
                <w:iCs/>
              </w:rPr>
            </w:pPr>
            <w:r w:rsidRPr="00106A2A">
              <w:rPr>
                <w:b/>
                <w:i/>
              </w:rPr>
              <w:t>Намаляване на броя на уязвимите ползватели на транспорт в резултат на мерки и инвестиции, финансирани по линия на Фонда.</w:t>
            </w:r>
          </w:p>
          <w:p w:rsidR="00106A2A" w:rsidRPr="00106A2A" w:rsidRDefault="00106A2A" w:rsidP="00106A2A">
            <w:pPr>
              <w:widowControl/>
              <w:jc w:val="both"/>
              <w:rPr>
                <w:b/>
                <w:bCs/>
                <w:i/>
                <w:iCs/>
              </w:rPr>
            </w:pPr>
          </w:p>
        </w:tc>
        <w:tc>
          <w:tcPr>
            <w:tcW w:w="1102" w:type="pct"/>
            <w:gridSpan w:val="3"/>
          </w:tcPr>
          <w:p w:rsidR="00106A2A" w:rsidRPr="00106A2A" w:rsidRDefault="00106A2A" w:rsidP="00106A2A">
            <w:pPr>
              <w:widowControl/>
              <w:jc w:val="both"/>
              <w:rPr>
                <w:b/>
                <w:bCs/>
                <w:i/>
                <w:iCs/>
              </w:rPr>
            </w:pPr>
            <w:r w:rsidRPr="00106A2A">
              <w:rPr>
                <w:b/>
                <w:i/>
              </w:rPr>
              <w:t>%</w:t>
            </w:r>
          </w:p>
        </w:tc>
      </w:tr>
      <w:tr w:rsidR="00106A2A" w:rsidRPr="00106A2A" w:rsidTr="006919B6">
        <w:trPr>
          <w:trHeight w:val="435"/>
        </w:trPr>
        <w:tc>
          <w:tcPr>
            <w:tcW w:w="506" w:type="pct"/>
            <w:gridSpan w:val="2"/>
          </w:tcPr>
          <w:p w:rsidR="00106A2A" w:rsidRPr="00106A2A" w:rsidRDefault="00106A2A" w:rsidP="00106A2A">
            <w:pPr>
              <w:widowControl/>
              <w:jc w:val="both"/>
              <w:rPr>
                <w:b/>
                <w:bCs/>
                <w:i/>
                <w:iCs/>
              </w:rPr>
            </w:pPr>
            <w:r w:rsidRPr="00106A2A">
              <w:rPr>
                <w:b/>
                <w:i/>
              </w:rPr>
              <w:t>30</w:t>
            </w:r>
          </w:p>
        </w:tc>
        <w:tc>
          <w:tcPr>
            <w:tcW w:w="1586" w:type="pct"/>
            <w:gridSpan w:val="2"/>
          </w:tcPr>
          <w:p w:rsidR="00106A2A" w:rsidRPr="00106A2A" w:rsidRDefault="00106A2A" w:rsidP="00106A2A">
            <w:pPr>
              <w:widowControl/>
              <w:jc w:val="both"/>
              <w:rPr>
                <w:b/>
                <w:bCs/>
                <w:i/>
                <w:iCs/>
              </w:rPr>
            </w:pPr>
            <w:r w:rsidRPr="00106A2A">
              <w:rPr>
                <w:b/>
                <w:i/>
              </w:rPr>
              <w:t>Намаляване на броя на домакинствата в транспортна бедност</w:t>
            </w:r>
          </w:p>
        </w:tc>
        <w:tc>
          <w:tcPr>
            <w:tcW w:w="1806" w:type="pct"/>
            <w:gridSpan w:val="2"/>
          </w:tcPr>
          <w:p w:rsidR="00106A2A" w:rsidRPr="00106A2A" w:rsidRDefault="00106A2A" w:rsidP="00106A2A">
            <w:pPr>
              <w:widowControl/>
              <w:jc w:val="both"/>
              <w:rPr>
                <w:b/>
                <w:bCs/>
                <w:i/>
                <w:iCs/>
              </w:rPr>
            </w:pPr>
            <w:r w:rsidRPr="00106A2A">
              <w:rPr>
                <w:b/>
                <w:i/>
              </w:rPr>
              <w:t>Намаляване на броя на домакинствата в транспортна бедност в резултат на мерки и инвестиции, финансирани по линия на Фонда.</w:t>
            </w:r>
          </w:p>
        </w:tc>
        <w:tc>
          <w:tcPr>
            <w:tcW w:w="1102" w:type="pct"/>
            <w:gridSpan w:val="3"/>
          </w:tcPr>
          <w:p w:rsidR="00106A2A" w:rsidRPr="00106A2A" w:rsidRDefault="00106A2A" w:rsidP="00106A2A">
            <w:pPr>
              <w:widowControl/>
              <w:jc w:val="both"/>
              <w:rPr>
                <w:b/>
                <w:bCs/>
                <w:i/>
                <w:iCs/>
              </w:rPr>
            </w:pPr>
            <w:r w:rsidRPr="00106A2A">
              <w:rPr>
                <w:b/>
                <w:i/>
              </w:rPr>
              <w:t>%</w:t>
            </w:r>
          </w:p>
        </w:tc>
      </w:tr>
      <w:tr w:rsidR="00106A2A" w:rsidRPr="00106A2A" w:rsidTr="006919B6">
        <w:tc>
          <w:tcPr>
            <w:tcW w:w="506" w:type="pct"/>
            <w:gridSpan w:val="2"/>
          </w:tcPr>
          <w:p w:rsidR="00106A2A" w:rsidRPr="00106A2A" w:rsidRDefault="00106A2A" w:rsidP="00106A2A">
            <w:pPr>
              <w:widowControl/>
              <w:jc w:val="both"/>
              <w:rPr>
                <w:b/>
                <w:bCs/>
                <w:i/>
                <w:iCs/>
              </w:rPr>
            </w:pPr>
            <w:r w:rsidRPr="00106A2A">
              <w:rPr>
                <w:b/>
                <w:i/>
              </w:rPr>
              <w:t>31</w:t>
            </w:r>
          </w:p>
        </w:tc>
        <w:tc>
          <w:tcPr>
            <w:tcW w:w="1586" w:type="pct"/>
            <w:gridSpan w:val="2"/>
          </w:tcPr>
          <w:p w:rsidR="00106A2A" w:rsidRPr="00106A2A" w:rsidRDefault="00106A2A" w:rsidP="00106A2A">
            <w:pPr>
              <w:widowControl/>
              <w:jc w:val="both"/>
              <w:rPr>
                <w:b/>
                <w:bCs/>
                <w:i/>
                <w:iCs/>
              </w:rPr>
            </w:pPr>
            <w:r w:rsidRPr="00106A2A">
              <w:rPr>
                <w:b/>
                <w:i/>
              </w:rPr>
              <w:t>Намаление на емисиите на парникови газове от сектора на автомобилния транспорт</w:t>
            </w:r>
          </w:p>
        </w:tc>
        <w:tc>
          <w:tcPr>
            <w:tcW w:w="1806" w:type="pct"/>
            <w:gridSpan w:val="2"/>
          </w:tcPr>
          <w:p w:rsidR="00106A2A" w:rsidRPr="00106A2A" w:rsidRDefault="00106A2A" w:rsidP="00106A2A">
            <w:pPr>
              <w:widowControl/>
              <w:jc w:val="both"/>
              <w:rPr>
                <w:b/>
                <w:bCs/>
                <w:i/>
                <w:iCs/>
              </w:rPr>
            </w:pPr>
            <w:r w:rsidRPr="00106A2A">
              <w:rPr>
                <w:b/>
                <w:i/>
              </w:rPr>
              <w:t>Държавите членки докладват за намаляването на емисиите на парникови газове в сектора на автомобилния транспорт, предизвикано от мерки и инвестиции, финансирани по линия на Фонда.</w:t>
            </w:r>
          </w:p>
          <w:p w:rsidR="00106A2A" w:rsidRPr="00106A2A" w:rsidRDefault="00106A2A" w:rsidP="00106A2A">
            <w:pPr>
              <w:widowControl/>
              <w:jc w:val="both"/>
              <w:rPr>
                <w:b/>
                <w:bCs/>
                <w:i/>
                <w:iCs/>
              </w:rPr>
            </w:pPr>
          </w:p>
          <w:p w:rsidR="00106A2A" w:rsidRPr="00106A2A" w:rsidRDefault="00106A2A" w:rsidP="00106A2A">
            <w:pPr>
              <w:widowControl/>
              <w:jc w:val="both"/>
              <w:rPr>
                <w:b/>
                <w:bCs/>
                <w:i/>
                <w:iCs/>
              </w:rPr>
            </w:pPr>
            <w:r w:rsidRPr="00106A2A">
              <w:rPr>
                <w:b/>
                <w:i/>
              </w:rPr>
              <w:t>Емисиите в сектора на автомобилния транспорт се определят като емисиите, обхванати от глава IVa от Директива 2003/87/ЕО (за сектора на автомобилния транспорт — източници на емисии 1A3b, както са установени в Насоките на МКИК относно националните инвентаризации на емисиите на парникови газове от 2006 г.).</w:t>
            </w:r>
          </w:p>
        </w:tc>
        <w:tc>
          <w:tcPr>
            <w:tcW w:w="1102" w:type="pct"/>
            <w:gridSpan w:val="3"/>
          </w:tcPr>
          <w:p w:rsidR="00106A2A" w:rsidRPr="00106A2A" w:rsidRDefault="00106A2A" w:rsidP="00106A2A">
            <w:pPr>
              <w:widowControl/>
              <w:jc w:val="both"/>
              <w:rPr>
                <w:b/>
                <w:bCs/>
                <w:i/>
                <w:iCs/>
              </w:rPr>
            </w:pPr>
            <w:r w:rsidRPr="00106A2A">
              <w:rPr>
                <w:b/>
                <w:i/>
              </w:rPr>
              <w:t>ktCO</w:t>
            </w:r>
            <w:r w:rsidRPr="00106A2A">
              <w:rPr>
                <w:b/>
                <w:i/>
                <w:vertAlign w:val="subscript"/>
              </w:rPr>
              <w:t>2</w:t>
            </w:r>
            <w:r w:rsidRPr="00106A2A">
              <w:rPr>
                <w:b/>
                <w:i/>
              </w:rPr>
              <w:t>e</w:t>
            </w:r>
          </w:p>
        </w:tc>
      </w:tr>
      <w:tr w:rsidR="00106A2A" w:rsidRPr="00106A2A" w:rsidTr="006919B6">
        <w:tc>
          <w:tcPr>
            <w:tcW w:w="5000" w:type="pct"/>
            <w:gridSpan w:val="9"/>
            <w:shd w:val="clear" w:color="auto" w:fill="D0CECE"/>
          </w:tcPr>
          <w:p w:rsidR="00106A2A" w:rsidRPr="00106A2A" w:rsidRDefault="00106A2A" w:rsidP="00106A2A">
            <w:pPr>
              <w:pageBreakBefore/>
              <w:widowControl/>
              <w:rPr>
                <w:b/>
                <w:bCs/>
                <w:i/>
                <w:iCs/>
              </w:rPr>
            </w:pPr>
            <w:r w:rsidRPr="00106A2A">
              <w:rPr>
                <w:b/>
                <w:i/>
              </w:rPr>
              <w:t>Микропредприятия (както в сектор „Сгради“, така и в сектора на автомобилния транспорт)</w:t>
            </w:r>
          </w:p>
        </w:tc>
      </w:tr>
      <w:tr w:rsidR="00106A2A" w:rsidRPr="00106A2A" w:rsidTr="006919B6">
        <w:trPr>
          <w:trHeight w:val="218"/>
        </w:trPr>
        <w:tc>
          <w:tcPr>
            <w:tcW w:w="5000" w:type="pct"/>
            <w:gridSpan w:val="9"/>
          </w:tcPr>
          <w:p w:rsidR="00106A2A" w:rsidRPr="00106A2A" w:rsidRDefault="00106A2A" w:rsidP="00106A2A">
            <w:pPr>
              <w:widowControl/>
              <w:jc w:val="both"/>
              <w:rPr>
                <w:b/>
                <w:bCs/>
                <w:i/>
                <w:iCs/>
                <w:u w:val="single"/>
              </w:rPr>
            </w:pPr>
            <w:r w:rsidRPr="00106A2A">
              <w:rPr>
                <w:b/>
                <w:i/>
                <w:u w:val="single"/>
              </w:rPr>
              <w:t>Показатели за контекста</w:t>
            </w:r>
          </w:p>
        </w:tc>
      </w:tr>
      <w:tr w:rsidR="00106A2A" w:rsidRPr="00106A2A" w:rsidTr="006919B6">
        <w:tc>
          <w:tcPr>
            <w:tcW w:w="506" w:type="pct"/>
            <w:gridSpan w:val="2"/>
          </w:tcPr>
          <w:p w:rsidR="00106A2A" w:rsidRPr="00106A2A" w:rsidRDefault="00106A2A" w:rsidP="00106A2A">
            <w:pPr>
              <w:widowControl/>
              <w:jc w:val="both"/>
              <w:rPr>
                <w:b/>
                <w:bCs/>
                <w:i/>
                <w:iCs/>
              </w:rPr>
            </w:pPr>
            <w:r w:rsidRPr="00106A2A">
              <w:rPr>
                <w:b/>
                <w:i/>
              </w:rPr>
              <w:t>32</w:t>
            </w:r>
          </w:p>
        </w:tc>
        <w:tc>
          <w:tcPr>
            <w:tcW w:w="1586" w:type="pct"/>
            <w:gridSpan w:val="2"/>
          </w:tcPr>
          <w:p w:rsidR="00106A2A" w:rsidRPr="00106A2A" w:rsidRDefault="00106A2A" w:rsidP="00106A2A">
            <w:pPr>
              <w:widowControl/>
              <w:jc w:val="both"/>
              <w:rPr>
                <w:b/>
                <w:bCs/>
                <w:i/>
                <w:iCs/>
              </w:rPr>
            </w:pPr>
            <w:r w:rsidRPr="00106A2A">
              <w:rPr>
                <w:b/>
                <w:i/>
              </w:rPr>
              <w:t>Брой на уязвимите микропредприятия</w:t>
            </w:r>
          </w:p>
        </w:tc>
        <w:tc>
          <w:tcPr>
            <w:tcW w:w="1806" w:type="pct"/>
            <w:gridSpan w:val="2"/>
          </w:tcPr>
          <w:p w:rsidR="00106A2A" w:rsidRPr="00106A2A" w:rsidRDefault="00106A2A" w:rsidP="00106A2A">
            <w:pPr>
              <w:widowControl/>
              <w:jc w:val="both"/>
              <w:rPr>
                <w:b/>
                <w:bCs/>
                <w:i/>
                <w:iCs/>
              </w:rPr>
            </w:pPr>
            <w:r w:rsidRPr="00106A2A">
              <w:rPr>
                <w:b/>
                <w:i/>
              </w:rPr>
              <w:t>В съответствие с определението в член 2, точка 11.</w:t>
            </w:r>
          </w:p>
        </w:tc>
        <w:tc>
          <w:tcPr>
            <w:tcW w:w="1102" w:type="pct"/>
            <w:gridSpan w:val="3"/>
          </w:tcPr>
          <w:p w:rsidR="00106A2A" w:rsidRPr="00106A2A" w:rsidRDefault="00106A2A" w:rsidP="00106A2A">
            <w:pPr>
              <w:widowControl/>
              <w:jc w:val="both"/>
              <w:rPr>
                <w:b/>
                <w:bCs/>
                <w:i/>
                <w:iCs/>
              </w:rPr>
            </w:pPr>
            <w:r w:rsidRPr="00106A2A">
              <w:rPr>
                <w:b/>
                <w:i/>
              </w:rPr>
              <w:t>Брой микропредприятия</w:t>
            </w:r>
          </w:p>
        </w:tc>
      </w:tr>
      <w:tr w:rsidR="00106A2A" w:rsidRPr="00106A2A" w:rsidTr="006919B6">
        <w:tc>
          <w:tcPr>
            <w:tcW w:w="5000" w:type="pct"/>
            <w:gridSpan w:val="9"/>
          </w:tcPr>
          <w:p w:rsidR="00106A2A" w:rsidRPr="00106A2A" w:rsidRDefault="00106A2A" w:rsidP="00106A2A">
            <w:pPr>
              <w:widowControl/>
              <w:jc w:val="both"/>
              <w:rPr>
                <w:b/>
                <w:bCs/>
                <w:i/>
                <w:iCs/>
                <w:u w:val="single"/>
              </w:rPr>
            </w:pPr>
            <w:r w:rsidRPr="00106A2A">
              <w:rPr>
                <w:b/>
                <w:i/>
                <w:u w:val="single"/>
              </w:rPr>
              <w:t>Показатели за крайния продукт</w:t>
            </w:r>
          </w:p>
        </w:tc>
      </w:tr>
      <w:tr w:rsidR="00106A2A" w:rsidRPr="00106A2A" w:rsidTr="006919B6">
        <w:tc>
          <w:tcPr>
            <w:tcW w:w="506" w:type="pct"/>
            <w:gridSpan w:val="2"/>
          </w:tcPr>
          <w:p w:rsidR="00106A2A" w:rsidRPr="00106A2A" w:rsidRDefault="00106A2A" w:rsidP="00106A2A">
            <w:pPr>
              <w:widowControl/>
              <w:jc w:val="both"/>
              <w:rPr>
                <w:b/>
                <w:bCs/>
                <w:i/>
                <w:iCs/>
              </w:rPr>
            </w:pPr>
            <w:r w:rsidRPr="00106A2A">
              <w:rPr>
                <w:b/>
                <w:i/>
              </w:rPr>
              <w:t>33</w:t>
            </w:r>
          </w:p>
        </w:tc>
        <w:tc>
          <w:tcPr>
            <w:tcW w:w="1586" w:type="pct"/>
            <w:gridSpan w:val="2"/>
          </w:tcPr>
          <w:p w:rsidR="00106A2A" w:rsidRPr="00106A2A" w:rsidRDefault="00106A2A" w:rsidP="00106A2A">
            <w:pPr>
              <w:widowControl/>
              <w:jc w:val="both"/>
              <w:rPr>
                <w:b/>
                <w:bCs/>
                <w:i/>
                <w:iCs/>
              </w:rPr>
            </w:pPr>
            <w:r w:rsidRPr="00106A2A">
              <w:rPr>
                <w:b/>
                <w:i/>
              </w:rPr>
              <w:t>Брой на уязвимите микропредприятия, които са се ползвали от поне една структурна мярка за намаление на емисиите си в сектор „Сгради“ и сектора на автомобилния транспорт</w:t>
            </w:r>
          </w:p>
        </w:tc>
        <w:tc>
          <w:tcPr>
            <w:tcW w:w="1806" w:type="pct"/>
            <w:gridSpan w:val="2"/>
          </w:tcPr>
          <w:p w:rsidR="00106A2A" w:rsidRPr="00106A2A" w:rsidRDefault="00106A2A" w:rsidP="00106A2A">
            <w:pPr>
              <w:widowControl/>
              <w:jc w:val="both"/>
              <w:rPr>
                <w:b/>
                <w:bCs/>
                <w:i/>
                <w:iCs/>
              </w:rPr>
            </w:pPr>
            <w:r w:rsidRPr="00106A2A">
              <w:rPr>
                <w:b/>
                <w:i/>
              </w:rPr>
              <w:t>В съответствие с член 2, точка 11 и член 8, параграф 1. Само мерки, които се дължат на подкрепа по линия на Фонда.</w:t>
            </w:r>
          </w:p>
        </w:tc>
        <w:tc>
          <w:tcPr>
            <w:tcW w:w="1102" w:type="pct"/>
            <w:gridSpan w:val="3"/>
          </w:tcPr>
          <w:p w:rsidR="00106A2A" w:rsidRPr="00106A2A" w:rsidRDefault="00106A2A" w:rsidP="00106A2A">
            <w:pPr>
              <w:widowControl/>
              <w:jc w:val="both"/>
              <w:rPr>
                <w:b/>
                <w:bCs/>
                <w:i/>
                <w:iCs/>
              </w:rPr>
            </w:pPr>
            <w:r w:rsidRPr="00106A2A">
              <w:rPr>
                <w:b/>
                <w:i/>
              </w:rPr>
              <w:t>Брой микропредприятия</w:t>
            </w:r>
          </w:p>
        </w:tc>
      </w:tr>
      <w:tr w:rsidR="00106A2A" w:rsidRPr="00106A2A" w:rsidTr="006919B6">
        <w:tc>
          <w:tcPr>
            <w:tcW w:w="5000" w:type="pct"/>
            <w:gridSpan w:val="9"/>
          </w:tcPr>
          <w:p w:rsidR="00106A2A" w:rsidRPr="00106A2A" w:rsidRDefault="00106A2A" w:rsidP="00106A2A">
            <w:pPr>
              <w:widowControl/>
              <w:jc w:val="both"/>
              <w:rPr>
                <w:b/>
                <w:bCs/>
                <w:i/>
                <w:iCs/>
                <w:u w:val="single"/>
              </w:rPr>
            </w:pPr>
            <w:r w:rsidRPr="00106A2A">
              <w:rPr>
                <w:b/>
                <w:i/>
                <w:u w:val="single"/>
              </w:rPr>
              <w:t>Показатели за резултатите</w:t>
            </w:r>
          </w:p>
        </w:tc>
      </w:tr>
      <w:tr w:rsidR="00106A2A" w:rsidRPr="00106A2A" w:rsidTr="006919B6">
        <w:tc>
          <w:tcPr>
            <w:tcW w:w="506" w:type="pct"/>
            <w:gridSpan w:val="2"/>
          </w:tcPr>
          <w:p w:rsidR="00106A2A" w:rsidRPr="00106A2A" w:rsidRDefault="00106A2A" w:rsidP="00106A2A">
            <w:pPr>
              <w:widowControl/>
              <w:jc w:val="both"/>
              <w:rPr>
                <w:b/>
                <w:bCs/>
                <w:i/>
                <w:iCs/>
              </w:rPr>
            </w:pPr>
            <w:r w:rsidRPr="00106A2A">
              <w:rPr>
                <w:b/>
                <w:i/>
              </w:rPr>
              <w:t>34</w:t>
            </w:r>
          </w:p>
        </w:tc>
        <w:tc>
          <w:tcPr>
            <w:tcW w:w="1586" w:type="pct"/>
            <w:gridSpan w:val="2"/>
          </w:tcPr>
          <w:p w:rsidR="00106A2A" w:rsidRPr="00106A2A" w:rsidRDefault="00106A2A" w:rsidP="00106A2A">
            <w:pPr>
              <w:widowControl/>
              <w:jc w:val="both"/>
              <w:rPr>
                <w:b/>
                <w:bCs/>
                <w:i/>
                <w:iCs/>
              </w:rPr>
            </w:pPr>
            <w:r w:rsidRPr="00106A2A">
              <w:rPr>
                <w:b/>
                <w:i/>
              </w:rPr>
              <w:t>Намаляване на броя на уязвимите микропредприятия</w:t>
            </w:r>
          </w:p>
        </w:tc>
        <w:tc>
          <w:tcPr>
            <w:tcW w:w="1806" w:type="pct"/>
            <w:gridSpan w:val="2"/>
          </w:tcPr>
          <w:p w:rsidR="00106A2A" w:rsidRPr="00106A2A" w:rsidRDefault="00106A2A" w:rsidP="00106A2A">
            <w:pPr>
              <w:widowControl/>
              <w:jc w:val="both"/>
              <w:rPr>
                <w:b/>
                <w:bCs/>
                <w:i/>
                <w:iCs/>
              </w:rPr>
            </w:pPr>
            <w:r w:rsidRPr="00106A2A">
              <w:rPr>
                <w:b/>
                <w:i/>
              </w:rPr>
              <w:t>Намаляване на броя на уязвимите микропредприятия в резултат на мерки и инвестиции, финансирани по линия на Фонда.</w:t>
            </w:r>
          </w:p>
        </w:tc>
        <w:tc>
          <w:tcPr>
            <w:tcW w:w="1102" w:type="pct"/>
            <w:gridSpan w:val="3"/>
          </w:tcPr>
          <w:p w:rsidR="00106A2A" w:rsidRPr="00106A2A" w:rsidRDefault="00106A2A" w:rsidP="00106A2A">
            <w:pPr>
              <w:widowControl/>
              <w:jc w:val="both"/>
              <w:rPr>
                <w:b/>
                <w:bCs/>
                <w:i/>
                <w:iCs/>
              </w:rPr>
            </w:pPr>
            <w:r w:rsidRPr="00106A2A">
              <w:rPr>
                <w:b/>
                <w:i/>
              </w:rPr>
              <w:t>%</w:t>
            </w:r>
          </w:p>
        </w:tc>
      </w:tr>
      <w:tr w:rsidR="00106A2A" w:rsidRPr="00106A2A" w:rsidTr="006919B6">
        <w:trPr>
          <w:trHeight w:val="567"/>
        </w:trPr>
        <w:tc>
          <w:tcPr>
            <w:tcW w:w="5000" w:type="pct"/>
            <w:gridSpan w:val="9"/>
            <w:shd w:val="clear" w:color="auto" w:fill="D9D9D9"/>
            <w:vAlign w:val="center"/>
          </w:tcPr>
          <w:p w:rsidR="00106A2A" w:rsidRPr="00106A2A" w:rsidRDefault="00106A2A" w:rsidP="00106A2A">
            <w:pPr>
              <w:widowControl/>
              <w:rPr>
                <w:b/>
                <w:bCs/>
                <w:i/>
                <w:iCs/>
              </w:rPr>
            </w:pPr>
            <w:r w:rsidRPr="00106A2A">
              <w:rPr>
                <w:b/>
                <w:i/>
              </w:rPr>
              <w:t>Временно директно подпомагане на доходите</w:t>
            </w:r>
          </w:p>
        </w:tc>
      </w:tr>
      <w:tr w:rsidR="00106A2A" w:rsidRPr="00106A2A" w:rsidTr="006919B6">
        <w:tc>
          <w:tcPr>
            <w:tcW w:w="5000" w:type="pct"/>
            <w:gridSpan w:val="9"/>
          </w:tcPr>
          <w:p w:rsidR="00106A2A" w:rsidRPr="00106A2A" w:rsidRDefault="00106A2A" w:rsidP="00106A2A">
            <w:pPr>
              <w:widowControl/>
              <w:jc w:val="both"/>
              <w:rPr>
                <w:b/>
                <w:bCs/>
                <w:i/>
                <w:iCs/>
                <w:u w:val="single"/>
              </w:rPr>
            </w:pPr>
            <w:r w:rsidRPr="00106A2A">
              <w:rPr>
                <w:b/>
                <w:i/>
                <w:u w:val="single"/>
              </w:rPr>
              <w:t>Показатели за контекста</w:t>
            </w:r>
          </w:p>
        </w:tc>
      </w:tr>
      <w:tr w:rsidR="00106A2A" w:rsidRPr="00106A2A" w:rsidTr="006919B6">
        <w:tc>
          <w:tcPr>
            <w:tcW w:w="506" w:type="pct"/>
            <w:gridSpan w:val="2"/>
          </w:tcPr>
          <w:p w:rsidR="00106A2A" w:rsidRPr="00106A2A" w:rsidRDefault="00106A2A" w:rsidP="00106A2A">
            <w:pPr>
              <w:widowControl/>
              <w:jc w:val="both"/>
              <w:rPr>
                <w:b/>
                <w:bCs/>
                <w:i/>
                <w:iCs/>
              </w:rPr>
            </w:pPr>
            <w:r w:rsidRPr="00106A2A">
              <w:rPr>
                <w:b/>
                <w:i/>
              </w:rPr>
              <w:t>35</w:t>
            </w:r>
          </w:p>
        </w:tc>
        <w:tc>
          <w:tcPr>
            <w:tcW w:w="1586" w:type="pct"/>
            <w:gridSpan w:val="2"/>
          </w:tcPr>
          <w:p w:rsidR="00106A2A" w:rsidRPr="00106A2A" w:rsidRDefault="00106A2A" w:rsidP="00106A2A">
            <w:pPr>
              <w:widowControl/>
              <w:jc w:val="both"/>
              <w:rPr>
                <w:b/>
                <w:bCs/>
                <w:i/>
                <w:iCs/>
              </w:rPr>
            </w:pPr>
            <w:r w:rsidRPr="00106A2A">
              <w:rPr>
                <w:b/>
                <w:i/>
              </w:rPr>
              <w:t>Дял на временното пряко подпомагане на доходите в общите разходи за социалните планове за климата</w:t>
            </w:r>
          </w:p>
        </w:tc>
        <w:tc>
          <w:tcPr>
            <w:tcW w:w="1806" w:type="pct"/>
            <w:gridSpan w:val="2"/>
          </w:tcPr>
          <w:p w:rsidR="00106A2A" w:rsidRPr="00106A2A" w:rsidRDefault="00106A2A" w:rsidP="00106A2A">
            <w:pPr>
              <w:widowControl/>
              <w:jc w:val="both"/>
              <w:rPr>
                <w:b/>
                <w:bCs/>
                <w:i/>
                <w:iCs/>
              </w:rPr>
            </w:pPr>
            <w:r w:rsidRPr="00106A2A">
              <w:rPr>
                <w:b/>
                <w:i/>
              </w:rPr>
              <w:t>В съответствие с член 4, параграф 3 и член 10.</w:t>
            </w:r>
          </w:p>
        </w:tc>
        <w:tc>
          <w:tcPr>
            <w:tcW w:w="1102" w:type="pct"/>
            <w:gridSpan w:val="3"/>
          </w:tcPr>
          <w:p w:rsidR="00106A2A" w:rsidRPr="00106A2A" w:rsidRDefault="00106A2A" w:rsidP="00106A2A">
            <w:pPr>
              <w:widowControl/>
              <w:jc w:val="both"/>
              <w:rPr>
                <w:b/>
                <w:bCs/>
                <w:i/>
                <w:iCs/>
              </w:rPr>
            </w:pPr>
            <w:r w:rsidRPr="00106A2A">
              <w:rPr>
                <w:b/>
                <w:i/>
              </w:rPr>
              <w:t>%</w:t>
            </w:r>
          </w:p>
        </w:tc>
      </w:tr>
      <w:tr w:rsidR="00106A2A" w:rsidRPr="00106A2A" w:rsidTr="006919B6">
        <w:tc>
          <w:tcPr>
            <w:tcW w:w="5000" w:type="pct"/>
            <w:gridSpan w:val="9"/>
          </w:tcPr>
          <w:p w:rsidR="00106A2A" w:rsidRPr="00106A2A" w:rsidRDefault="00106A2A" w:rsidP="00106A2A">
            <w:pPr>
              <w:widowControl/>
              <w:jc w:val="both"/>
              <w:rPr>
                <w:b/>
                <w:bCs/>
                <w:i/>
                <w:iCs/>
                <w:u w:val="single"/>
              </w:rPr>
            </w:pPr>
            <w:r w:rsidRPr="00106A2A">
              <w:rPr>
                <w:b/>
                <w:i/>
                <w:u w:val="single"/>
              </w:rPr>
              <w:t>Показатели за крайния продукт</w:t>
            </w:r>
          </w:p>
        </w:tc>
      </w:tr>
      <w:tr w:rsidR="00106A2A" w:rsidRPr="00106A2A" w:rsidTr="006919B6">
        <w:trPr>
          <w:trHeight w:val="1140"/>
        </w:trPr>
        <w:tc>
          <w:tcPr>
            <w:tcW w:w="506" w:type="pct"/>
            <w:gridSpan w:val="2"/>
          </w:tcPr>
          <w:p w:rsidR="00106A2A" w:rsidRPr="00106A2A" w:rsidRDefault="00106A2A" w:rsidP="00106A2A">
            <w:pPr>
              <w:widowControl/>
              <w:jc w:val="both"/>
              <w:rPr>
                <w:b/>
                <w:bCs/>
                <w:i/>
                <w:iCs/>
              </w:rPr>
            </w:pPr>
            <w:r w:rsidRPr="00106A2A">
              <w:rPr>
                <w:b/>
                <w:i/>
              </w:rPr>
              <w:t>36</w:t>
            </w:r>
          </w:p>
        </w:tc>
        <w:tc>
          <w:tcPr>
            <w:tcW w:w="1586" w:type="pct"/>
            <w:gridSpan w:val="2"/>
            <w:vMerge w:val="restart"/>
          </w:tcPr>
          <w:p w:rsidR="00106A2A" w:rsidRPr="00106A2A" w:rsidRDefault="00106A2A" w:rsidP="00106A2A">
            <w:pPr>
              <w:widowControl/>
              <w:jc w:val="both"/>
              <w:rPr>
                <w:b/>
                <w:bCs/>
                <w:i/>
                <w:iCs/>
              </w:rPr>
            </w:pPr>
            <w:r w:rsidRPr="00106A2A">
              <w:rPr>
                <w:b/>
                <w:i/>
              </w:rPr>
              <w:t>Брой на уязвимите домакинства и уязвимите ползватели на транспорт, които са получили временно пряко подпомагане на доходите</w:t>
            </w:r>
          </w:p>
        </w:tc>
        <w:tc>
          <w:tcPr>
            <w:tcW w:w="1806" w:type="pct"/>
            <w:gridSpan w:val="2"/>
            <w:vMerge w:val="restart"/>
          </w:tcPr>
          <w:p w:rsidR="00106A2A" w:rsidRPr="00106A2A" w:rsidRDefault="00106A2A" w:rsidP="00106A2A">
            <w:pPr>
              <w:widowControl/>
              <w:jc w:val="both"/>
              <w:rPr>
                <w:b/>
                <w:bCs/>
                <w:i/>
                <w:iCs/>
              </w:rPr>
            </w:pPr>
            <w:r w:rsidRPr="00106A2A">
              <w:rPr>
                <w:b/>
                <w:i/>
              </w:rPr>
              <w:t>Показателят посочва броя на уязвимите домакинства и уязвимите ползватели на транспорт, които са получили временно пряко подпомагане на доходите, като по този начин се отчитат всички крайни получатели на временното пряко подпомагане на доходите, изплатено по линия на Фонда.</w:t>
            </w:r>
          </w:p>
          <w:p w:rsidR="00106A2A" w:rsidRPr="00106A2A" w:rsidRDefault="00106A2A" w:rsidP="00106A2A">
            <w:pPr>
              <w:widowControl/>
              <w:jc w:val="both"/>
            </w:pPr>
            <w:r w:rsidRPr="00106A2A">
              <w:rPr>
                <w:b/>
                <w:i/>
              </w:rPr>
              <w:t>Данните за показателя се събират и докладват отделно за уязвимите домакинства и за уязвимите ползватели на транспорт в съответствие с член 2, точка 10, член 2, точка 12 и член 4, параграф 3.</w:t>
            </w:r>
          </w:p>
        </w:tc>
        <w:tc>
          <w:tcPr>
            <w:tcW w:w="1102" w:type="pct"/>
            <w:gridSpan w:val="3"/>
          </w:tcPr>
          <w:p w:rsidR="00106A2A" w:rsidRPr="00106A2A" w:rsidRDefault="00106A2A" w:rsidP="00106A2A">
            <w:pPr>
              <w:widowControl/>
              <w:rPr>
                <w:b/>
                <w:bCs/>
                <w:i/>
                <w:iCs/>
              </w:rPr>
            </w:pPr>
            <w:r w:rsidRPr="00106A2A">
              <w:rPr>
                <w:b/>
                <w:i/>
              </w:rPr>
              <w:t>Брой на уязвимите домакинства</w:t>
            </w:r>
          </w:p>
          <w:p w:rsidR="00106A2A" w:rsidRPr="00106A2A" w:rsidRDefault="00106A2A" w:rsidP="00106A2A">
            <w:pPr>
              <w:widowControl/>
              <w:rPr>
                <w:b/>
                <w:bCs/>
                <w:i/>
                <w:iCs/>
              </w:rPr>
            </w:pPr>
            <w:r w:rsidRPr="00106A2A">
              <w:rPr>
                <w:b/>
                <w:i/>
              </w:rPr>
              <w:t>(единица: домакинства)</w:t>
            </w:r>
          </w:p>
        </w:tc>
      </w:tr>
      <w:tr w:rsidR="00106A2A" w:rsidRPr="00106A2A" w:rsidTr="006919B6">
        <w:trPr>
          <w:trHeight w:val="1140"/>
        </w:trPr>
        <w:tc>
          <w:tcPr>
            <w:tcW w:w="506" w:type="pct"/>
            <w:gridSpan w:val="2"/>
          </w:tcPr>
          <w:p w:rsidR="00106A2A" w:rsidRPr="00106A2A" w:rsidRDefault="00106A2A" w:rsidP="00106A2A">
            <w:pPr>
              <w:widowControl/>
              <w:jc w:val="both"/>
              <w:rPr>
                <w:b/>
                <w:bCs/>
                <w:i/>
                <w:iCs/>
              </w:rPr>
            </w:pPr>
            <w:r w:rsidRPr="00106A2A">
              <w:rPr>
                <w:b/>
                <w:i/>
              </w:rPr>
              <w:t>37</w:t>
            </w:r>
          </w:p>
        </w:tc>
        <w:tc>
          <w:tcPr>
            <w:tcW w:w="1586" w:type="pct"/>
            <w:gridSpan w:val="2"/>
            <w:vMerge/>
          </w:tcPr>
          <w:p w:rsidR="00106A2A" w:rsidRPr="00106A2A" w:rsidRDefault="00106A2A" w:rsidP="00106A2A">
            <w:pPr>
              <w:widowControl/>
              <w:jc w:val="both"/>
              <w:rPr>
                <w:b/>
                <w:bCs/>
                <w:i/>
                <w:iCs/>
              </w:rPr>
            </w:pPr>
          </w:p>
        </w:tc>
        <w:tc>
          <w:tcPr>
            <w:tcW w:w="1806" w:type="pct"/>
            <w:gridSpan w:val="2"/>
            <w:vMerge/>
          </w:tcPr>
          <w:p w:rsidR="00106A2A" w:rsidRPr="00106A2A" w:rsidRDefault="00106A2A" w:rsidP="00106A2A">
            <w:pPr>
              <w:widowControl/>
              <w:jc w:val="both"/>
              <w:rPr>
                <w:b/>
                <w:bCs/>
                <w:i/>
                <w:iCs/>
              </w:rPr>
            </w:pPr>
          </w:p>
        </w:tc>
        <w:tc>
          <w:tcPr>
            <w:tcW w:w="1102" w:type="pct"/>
            <w:gridSpan w:val="3"/>
          </w:tcPr>
          <w:p w:rsidR="00106A2A" w:rsidRPr="00106A2A" w:rsidRDefault="00106A2A" w:rsidP="00106A2A">
            <w:pPr>
              <w:widowControl/>
              <w:rPr>
                <w:b/>
                <w:bCs/>
                <w:i/>
                <w:iCs/>
              </w:rPr>
            </w:pPr>
            <w:r w:rsidRPr="00106A2A">
              <w:rPr>
                <w:b/>
                <w:i/>
              </w:rPr>
              <w:t>Брой на уязвимите ползватели на транспорт</w:t>
            </w:r>
          </w:p>
          <w:p w:rsidR="00106A2A" w:rsidRPr="00106A2A" w:rsidRDefault="00106A2A" w:rsidP="00106A2A">
            <w:pPr>
              <w:widowControl/>
              <w:rPr>
                <w:b/>
                <w:bCs/>
                <w:i/>
                <w:iCs/>
              </w:rPr>
            </w:pPr>
            <w:r w:rsidRPr="00106A2A">
              <w:rPr>
                <w:b/>
                <w:i/>
              </w:rPr>
              <w:t>(единица: домакинства)</w:t>
            </w:r>
          </w:p>
        </w:tc>
      </w:tr>
      <w:tr w:rsidR="00106A2A" w:rsidRPr="00106A2A" w:rsidTr="006919B6">
        <w:trPr>
          <w:gridBefore w:val="1"/>
          <w:gridAfter w:val="1"/>
          <w:wBefore w:w="280" w:type="pct"/>
          <w:wAfter w:w="136" w:type="pct"/>
        </w:trPr>
        <w:tc>
          <w:tcPr>
            <w:tcW w:w="4585" w:type="pct"/>
            <w:gridSpan w:val="7"/>
          </w:tcPr>
          <w:p w:rsidR="00106A2A" w:rsidRPr="00106A2A" w:rsidRDefault="00106A2A" w:rsidP="00106A2A">
            <w:pPr>
              <w:pageBreakBefore/>
              <w:widowControl/>
              <w:jc w:val="both"/>
              <w:rPr>
                <w:b/>
                <w:bCs/>
                <w:i/>
                <w:iCs/>
                <w:u w:val="single"/>
              </w:rPr>
            </w:pPr>
            <w:r w:rsidRPr="00106A2A">
              <w:rPr>
                <w:b/>
                <w:i/>
                <w:u w:val="single"/>
              </w:rPr>
              <w:t>Показатели за резултатите</w:t>
            </w:r>
          </w:p>
        </w:tc>
      </w:tr>
      <w:tr w:rsidR="00106A2A" w:rsidRPr="00106A2A" w:rsidTr="006919B6">
        <w:trPr>
          <w:gridBefore w:val="1"/>
          <w:gridAfter w:val="1"/>
          <w:wBefore w:w="280" w:type="pct"/>
          <w:wAfter w:w="136" w:type="pct"/>
          <w:trHeight w:val="378"/>
        </w:trPr>
        <w:tc>
          <w:tcPr>
            <w:tcW w:w="330" w:type="pct"/>
            <w:gridSpan w:val="2"/>
          </w:tcPr>
          <w:p w:rsidR="00106A2A" w:rsidRPr="00106A2A" w:rsidRDefault="00106A2A" w:rsidP="00106A2A">
            <w:pPr>
              <w:widowControl/>
              <w:jc w:val="both"/>
              <w:rPr>
                <w:b/>
                <w:bCs/>
                <w:i/>
                <w:iCs/>
              </w:rPr>
            </w:pPr>
            <w:r w:rsidRPr="00106A2A">
              <w:rPr>
                <w:b/>
                <w:i/>
              </w:rPr>
              <w:t>38</w:t>
            </w:r>
          </w:p>
        </w:tc>
        <w:tc>
          <w:tcPr>
            <w:tcW w:w="1710" w:type="pct"/>
            <w:gridSpan w:val="2"/>
            <w:vMerge w:val="restart"/>
          </w:tcPr>
          <w:p w:rsidR="00106A2A" w:rsidRPr="00106A2A" w:rsidRDefault="00106A2A" w:rsidP="00106A2A">
            <w:pPr>
              <w:widowControl/>
              <w:jc w:val="both"/>
              <w:rPr>
                <w:b/>
                <w:bCs/>
                <w:i/>
                <w:iCs/>
              </w:rPr>
            </w:pPr>
            <w:r w:rsidRPr="00106A2A">
              <w:rPr>
                <w:b/>
                <w:i/>
              </w:rPr>
              <w:t>Средно временно пряко подпомагане на доходите на уязвимо домакинство и уязвим ползвател на транспорт</w:t>
            </w:r>
          </w:p>
        </w:tc>
        <w:tc>
          <w:tcPr>
            <w:tcW w:w="1792" w:type="pct"/>
            <w:gridSpan w:val="2"/>
            <w:vMerge w:val="restart"/>
          </w:tcPr>
          <w:p w:rsidR="00106A2A" w:rsidRPr="00106A2A" w:rsidRDefault="00106A2A" w:rsidP="00106A2A">
            <w:pPr>
              <w:widowControl/>
              <w:jc w:val="both"/>
              <w:rPr>
                <w:b/>
                <w:bCs/>
                <w:i/>
                <w:iCs/>
              </w:rPr>
            </w:pPr>
            <w:r w:rsidRPr="00106A2A">
              <w:rPr>
                <w:b/>
                <w:i/>
              </w:rPr>
              <w:t>Показателят дава информация за средния размер на временното пряко подпомагане на доходите, получено по линия на Фонда за уязвимо домакинство и уязвим ползвател на транспорт.</w:t>
            </w:r>
          </w:p>
        </w:tc>
        <w:tc>
          <w:tcPr>
            <w:tcW w:w="752" w:type="pct"/>
          </w:tcPr>
          <w:p w:rsidR="00106A2A" w:rsidRPr="00106A2A" w:rsidRDefault="00106A2A" w:rsidP="00106A2A">
            <w:pPr>
              <w:widowControl/>
              <w:jc w:val="both"/>
              <w:rPr>
                <w:b/>
                <w:bCs/>
                <w:i/>
                <w:iCs/>
              </w:rPr>
            </w:pPr>
            <w:r w:rsidRPr="00106A2A">
              <w:rPr>
                <w:b/>
                <w:i/>
              </w:rPr>
              <w:t>EUR/домакинство (сектор „Сгради“)</w:t>
            </w:r>
          </w:p>
          <w:p w:rsidR="00106A2A" w:rsidRPr="00106A2A" w:rsidRDefault="00106A2A" w:rsidP="00106A2A">
            <w:pPr>
              <w:widowControl/>
              <w:jc w:val="both"/>
              <w:rPr>
                <w:b/>
                <w:bCs/>
                <w:i/>
                <w:iCs/>
              </w:rPr>
            </w:pPr>
          </w:p>
        </w:tc>
      </w:tr>
      <w:tr w:rsidR="00106A2A" w:rsidRPr="00106A2A" w:rsidTr="006919B6">
        <w:trPr>
          <w:gridBefore w:val="1"/>
          <w:gridAfter w:val="1"/>
          <w:wBefore w:w="280" w:type="pct"/>
          <w:wAfter w:w="136" w:type="pct"/>
          <w:trHeight w:val="378"/>
        </w:trPr>
        <w:tc>
          <w:tcPr>
            <w:tcW w:w="330" w:type="pct"/>
            <w:gridSpan w:val="2"/>
          </w:tcPr>
          <w:p w:rsidR="00106A2A" w:rsidRPr="00106A2A" w:rsidRDefault="00106A2A" w:rsidP="00106A2A">
            <w:pPr>
              <w:widowControl/>
              <w:jc w:val="both"/>
              <w:rPr>
                <w:b/>
                <w:bCs/>
                <w:i/>
                <w:iCs/>
              </w:rPr>
            </w:pPr>
            <w:r w:rsidRPr="00106A2A">
              <w:rPr>
                <w:b/>
                <w:i/>
              </w:rPr>
              <w:t>39</w:t>
            </w:r>
          </w:p>
        </w:tc>
        <w:tc>
          <w:tcPr>
            <w:tcW w:w="1710" w:type="pct"/>
            <w:gridSpan w:val="2"/>
            <w:vMerge/>
          </w:tcPr>
          <w:p w:rsidR="00106A2A" w:rsidRPr="00106A2A" w:rsidRDefault="00106A2A" w:rsidP="00106A2A">
            <w:pPr>
              <w:widowControl/>
              <w:jc w:val="both"/>
              <w:rPr>
                <w:b/>
                <w:bCs/>
                <w:i/>
                <w:iCs/>
              </w:rPr>
            </w:pPr>
          </w:p>
        </w:tc>
        <w:tc>
          <w:tcPr>
            <w:tcW w:w="1792" w:type="pct"/>
            <w:gridSpan w:val="2"/>
            <w:vMerge/>
          </w:tcPr>
          <w:p w:rsidR="00106A2A" w:rsidRPr="00106A2A" w:rsidRDefault="00106A2A" w:rsidP="00106A2A">
            <w:pPr>
              <w:widowControl/>
              <w:jc w:val="both"/>
              <w:rPr>
                <w:b/>
                <w:bCs/>
                <w:i/>
                <w:iCs/>
              </w:rPr>
            </w:pPr>
          </w:p>
        </w:tc>
        <w:tc>
          <w:tcPr>
            <w:tcW w:w="752" w:type="pct"/>
          </w:tcPr>
          <w:p w:rsidR="00106A2A" w:rsidRPr="00106A2A" w:rsidRDefault="00106A2A" w:rsidP="00106A2A">
            <w:pPr>
              <w:widowControl/>
              <w:jc w:val="both"/>
              <w:rPr>
                <w:b/>
                <w:bCs/>
                <w:i/>
                <w:iCs/>
              </w:rPr>
            </w:pPr>
            <w:r w:rsidRPr="00106A2A">
              <w:rPr>
                <w:b/>
                <w:i/>
              </w:rPr>
              <w:t>EUR/домакинство (сектор на автомобилния транспорт)</w:t>
            </w:r>
          </w:p>
          <w:p w:rsidR="00106A2A" w:rsidRPr="00106A2A" w:rsidRDefault="00106A2A" w:rsidP="00106A2A">
            <w:pPr>
              <w:widowControl/>
              <w:jc w:val="both"/>
              <w:rPr>
                <w:b/>
                <w:bCs/>
                <w:i/>
                <w:iCs/>
              </w:rPr>
            </w:pPr>
          </w:p>
        </w:tc>
      </w:tr>
    </w:tbl>
    <w:p w:rsidR="00106A2A" w:rsidRPr="00106A2A" w:rsidRDefault="00106A2A" w:rsidP="00106A2A">
      <w:pPr>
        <w:widowControl/>
        <w:spacing w:before="120" w:after="160" w:line="259" w:lineRule="auto"/>
        <w:jc w:val="both"/>
        <w:rPr>
          <w:rFonts w:eastAsia="Calibri"/>
          <w:b/>
          <w:bCs/>
          <w:i/>
          <w:iCs/>
          <w:lang w:eastAsia="en-US"/>
        </w:rPr>
      </w:pPr>
    </w:p>
    <w:p w:rsidR="00106A2A" w:rsidRPr="00106A2A" w:rsidRDefault="00106A2A" w:rsidP="00106A2A">
      <w:pPr>
        <w:widowControl/>
        <w:spacing w:before="120" w:after="160" w:line="259" w:lineRule="auto"/>
        <w:jc w:val="both"/>
        <w:rPr>
          <w:rFonts w:eastAsia="Calibri"/>
          <w:b/>
          <w:bCs/>
          <w:i/>
          <w:iCs/>
          <w:lang w:eastAsia="en-US"/>
        </w:rPr>
        <w:sectPr w:rsidR="00106A2A" w:rsidRPr="00106A2A" w:rsidSect="00056D1A">
          <w:headerReference w:type="even" r:id="rId23"/>
          <w:headerReference w:type="default" r:id="rId24"/>
          <w:footerReference w:type="even" r:id="rId25"/>
          <w:footerReference w:type="default" r:id="rId26"/>
          <w:headerReference w:type="first" r:id="rId27"/>
          <w:footerReference w:type="first" r:id="rId28"/>
          <w:footnotePr>
            <w:numRestart w:val="eachPage"/>
          </w:footnotePr>
          <w:pgSz w:w="16838" w:h="11906" w:orient="landscape"/>
          <w:pgMar w:top="1134" w:right="1134" w:bottom="1134" w:left="1134" w:header="567" w:footer="567" w:gutter="0"/>
          <w:cols w:space="720"/>
          <w:docGrid w:linePitch="360"/>
        </w:sectPr>
      </w:pPr>
    </w:p>
    <w:p w:rsidR="00106A2A" w:rsidRPr="00106A2A" w:rsidRDefault="00106A2A" w:rsidP="00106A2A">
      <w:pPr>
        <w:widowControl/>
        <w:spacing w:before="120" w:after="160" w:line="259" w:lineRule="auto"/>
        <w:jc w:val="center"/>
        <w:rPr>
          <w:b/>
          <w:bCs/>
          <w:i/>
          <w:iCs/>
          <w:lang w:eastAsia="en-US"/>
        </w:rPr>
      </w:pPr>
      <w:r w:rsidRPr="00106A2A">
        <w:rPr>
          <w:rFonts w:eastAsia="Calibri"/>
          <w:b/>
          <w:i/>
          <w:lang w:eastAsia="en-US"/>
        </w:rPr>
        <w:t>ПРИЛОЖЕНИЕ V</w:t>
      </w:r>
    </w:p>
    <w:p w:rsidR="00106A2A" w:rsidRPr="00106A2A" w:rsidRDefault="00106A2A" w:rsidP="00106A2A">
      <w:pPr>
        <w:widowControl/>
        <w:spacing w:before="120" w:after="160" w:line="259" w:lineRule="auto"/>
        <w:jc w:val="center"/>
        <w:rPr>
          <w:b/>
          <w:bCs/>
          <w:i/>
          <w:iCs/>
          <w:lang w:eastAsia="en-US"/>
        </w:rPr>
      </w:pPr>
      <w:r w:rsidRPr="00106A2A">
        <w:rPr>
          <w:rFonts w:eastAsia="Calibri"/>
          <w:b/>
          <w:i/>
          <w:lang w:eastAsia="en-US"/>
        </w:rPr>
        <w:t>Образец за социалните планове за климата, посочен в член 6, параграф 7</w:t>
      </w:r>
    </w:p>
    <w:p w:rsidR="00106A2A" w:rsidRPr="00106A2A" w:rsidRDefault="00106A2A" w:rsidP="00106A2A">
      <w:pPr>
        <w:widowControl/>
        <w:spacing w:before="120" w:after="160" w:line="259" w:lineRule="auto"/>
        <w:rPr>
          <w:rFonts w:eastAsia="Calibri"/>
          <w:b/>
          <w:bCs/>
          <w:i/>
          <w:iCs/>
          <w:lang w:bidi="en-GB"/>
        </w:rPr>
      </w:pPr>
    </w:p>
    <w:sdt>
      <w:sdtPr>
        <w:rPr>
          <w:rFonts w:eastAsia="Calibri"/>
          <w:b/>
          <w:bCs/>
          <w:i/>
          <w:iCs/>
          <w:lang w:eastAsia="en-US"/>
        </w:rPr>
        <w:id w:val="199450791"/>
        <w:docPartObj>
          <w:docPartGallery w:val="Table of Contents"/>
          <w:docPartUnique/>
        </w:docPartObj>
      </w:sdtPr>
      <w:sdtContent>
        <w:p w:rsidR="00106A2A" w:rsidRPr="00106A2A" w:rsidRDefault="00106A2A" w:rsidP="00106A2A">
          <w:pPr>
            <w:keepNext/>
            <w:keepLines/>
            <w:widowControl/>
            <w:spacing w:before="120"/>
            <w:ind w:left="432"/>
            <w:jc w:val="center"/>
            <w:rPr>
              <w:b/>
              <w:bCs/>
              <w:i/>
              <w:iCs/>
              <w:lang w:eastAsia="en-US"/>
            </w:rPr>
          </w:pPr>
          <w:r w:rsidRPr="00106A2A">
            <w:rPr>
              <w:rFonts w:eastAsia="Calibri"/>
              <w:b/>
              <w:i/>
              <w:lang w:eastAsia="en-US"/>
            </w:rPr>
            <w:t>Съдържание</w:t>
          </w:r>
        </w:p>
        <w:p w:rsidR="00106A2A" w:rsidRPr="00106A2A" w:rsidRDefault="00106A2A" w:rsidP="00106A2A">
          <w:pPr>
            <w:widowControl/>
            <w:tabs>
              <w:tab w:val="right" w:leader="dot" w:pos="9071"/>
            </w:tabs>
            <w:spacing w:before="100" w:line="259" w:lineRule="auto"/>
            <w:ind w:left="851" w:hanging="851"/>
            <w:rPr>
              <w:noProof/>
            </w:rPr>
          </w:pPr>
          <w:r w:rsidRPr="00106A2A">
            <w:rPr>
              <w:rFonts w:eastAsia="Calibri"/>
              <w:b/>
              <w:i/>
              <w:lang w:eastAsia="en-US"/>
            </w:rPr>
            <w:fldChar w:fldCharType="begin"/>
          </w:r>
          <w:r w:rsidRPr="00106A2A">
            <w:rPr>
              <w:rFonts w:eastAsia="Calibri"/>
              <w:b/>
              <w:i/>
              <w:lang w:eastAsia="en-US"/>
            </w:rPr>
            <w:instrText xml:space="preserve"> TOC \o "1-3" \h \z \u </w:instrText>
          </w:r>
          <w:r w:rsidRPr="00106A2A">
            <w:rPr>
              <w:rFonts w:eastAsia="Calibri"/>
              <w:b/>
              <w:i/>
              <w:lang w:eastAsia="en-US"/>
            </w:rPr>
            <w:fldChar w:fldCharType="separate"/>
          </w:r>
          <w:hyperlink w:anchor="_Toc128649673" w:history="1">
            <w:r w:rsidRPr="00106A2A">
              <w:rPr>
                <w:b/>
                <w:bCs/>
                <w:i/>
                <w:iCs/>
                <w:noProof/>
                <w:u w:val="single"/>
                <w:lang w:eastAsia="en-US"/>
              </w:rPr>
              <w:t>1.</w:t>
            </w:r>
            <w:r w:rsidRPr="00106A2A">
              <w:rPr>
                <w:noProof/>
              </w:rPr>
              <w:tab/>
            </w:r>
            <w:r w:rsidRPr="00106A2A">
              <w:rPr>
                <w:rFonts w:eastAsia="Calibri"/>
                <w:b/>
                <w:i/>
                <w:noProof/>
                <w:u w:val="single"/>
                <w:lang w:eastAsia="en-US"/>
              </w:rPr>
              <w:t>ПРЕГЛЕД И ПРОЦЕС НА ОПРЕДЕЛЯНЕ НА СОЦИАЛНИЯ ПЛАН ВЪВ ВРЪЗКА С КЛИМАТА</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_Toc128649673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124</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674" w:history="1">
            <w:r w:rsidRPr="00106A2A">
              <w:rPr>
                <w:rFonts w:eastAsia="Calibri"/>
                <w:b/>
                <w:i/>
                <w:noProof/>
                <w:u w:val="single"/>
                <w:lang w:eastAsia="en-US"/>
              </w:rPr>
              <w:t>1.1</w:t>
            </w:r>
            <w:r w:rsidRPr="00106A2A">
              <w:rPr>
                <w:noProof/>
              </w:rPr>
              <w:tab/>
            </w:r>
            <w:r w:rsidRPr="00106A2A">
              <w:rPr>
                <w:rFonts w:eastAsia="Calibri"/>
                <w:b/>
                <w:i/>
                <w:noProof/>
                <w:u w:val="single"/>
                <w:lang w:eastAsia="en-US"/>
              </w:rPr>
              <w:t>Резюме</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_Toc128649674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124</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rFonts w:eastAsia="Calibri"/>
              <w:noProof/>
              <w:lang w:eastAsia="en-US"/>
            </w:rPr>
          </w:pPr>
          <w:hyperlink w:anchor="_Toc128649675" w:history="1">
            <w:r w:rsidRPr="00106A2A">
              <w:rPr>
                <w:rFonts w:eastAsia="Calibri"/>
                <w:b/>
                <w:i/>
                <w:noProof/>
                <w:u w:val="single"/>
                <w:lang w:eastAsia="en-US"/>
              </w:rPr>
              <w:t>1.2. Преглед на настоящата ситуация в областта на политиките</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_Toc128649675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125</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rFonts w:eastAsia="Calibri"/>
              <w:noProof/>
              <w:webHidden/>
              <w:lang w:eastAsia="en-US"/>
            </w:rPr>
          </w:pPr>
          <w:r w:rsidRPr="00106A2A">
            <w:rPr>
              <w:rFonts w:eastAsia="Calibri"/>
              <w:b/>
              <w:i/>
              <w:noProof/>
              <w:u w:val="single"/>
              <w:lang w:eastAsia="en-US"/>
            </w:rPr>
            <w:t>1.3. Процес на обществените консултации</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_Toc128649675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125</w:t>
          </w:r>
          <w:r w:rsidRPr="00106A2A">
            <w:rPr>
              <w:rFonts w:eastAsia="Calibri"/>
              <w:noProof/>
              <w:webHidden/>
              <w:lang w:eastAsia="en-US"/>
            </w:rPr>
            <w:fldChar w:fldCharType="end"/>
          </w:r>
        </w:p>
        <w:p w:rsidR="00106A2A" w:rsidRPr="00106A2A" w:rsidRDefault="00106A2A" w:rsidP="00106A2A">
          <w:pPr>
            <w:widowControl/>
            <w:tabs>
              <w:tab w:val="right" w:leader="dot" w:pos="9071"/>
            </w:tabs>
            <w:spacing w:before="100" w:line="259" w:lineRule="auto"/>
            <w:ind w:left="850" w:hanging="850"/>
            <w:rPr>
              <w:noProof/>
            </w:rPr>
          </w:pPr>
          <w:hyperlink w:anchor="_Toc128649676" w:history="1">
            <w:r w:rsidRPr="00106A2A">
              <w:rPr>
                <w:b/>
                <w:bCs/>
                <w:i/>
                <w:iCs/>
                <w:noProof/>
                <w:u w:val="single"/>
                <w:lang w:eastAsia="en-US"/>
              </w:rPr>
              <w:t>2.</w:t>
            </w:r>
            <w:r w:rsidRPr="00106A2A">
              <w:rPr>
                <w:noProof/>
              </w:rPr>
              <w:tab/>
            </w:r>
            <w:r w:rsidRPr="00106A2A">
              <w:rPr>
                <w:rFonts w:eastAsia="Calibri"/>
                <w:b/>
                <w:i/>
                <w:noProof/>
                <w:u w:val="single"/>
                <w:lang w:eastAsia="en-US"/>
              </w:rPr>
              <w:t>ОПИСАНИЕ НА МЕРКИТЕ И ИНВЕСТИЦИИТЕ, КЛЮЧОВИТЕ ЕТАПИ И ЦЕЛИТЕ</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_Toc128649676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126</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677" w:history="1">
            <w:r w:rsidRPr="00106A2A">
              <w:rPr>
                <w:rFonts w:eastAsia="Calibri"/>
                <w:b/>
                <w:i/>
                <w:noProof/>
                <w:u w:val="single"/>
                <w:lang w:eastAsia="en-US"/>
              </w:rPr>
              <w:t>2.1. КОМПОНЕНТ [1][2]: [сектор „Сгради“] [транспортен сектор]</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_Toc128649677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126</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678" w:history="1">
            <w:r w:rsidRPr="00106A2A">
              <w:rPr>
                <w:b/>
                <w:bCs/>
                <w:i/>
                <w:iCs/>
                <w:noProof/>
                <w:u w:val="single"/>
                <w:lang w:eastAsia="en-US"/>
              </w:rPr>
              <w:t>(i)</w:t>
            </w:r>
            <w:r w:rsidRPr="00106A2A">
              <w:rPr>
                <w:noProof/>
              </w:rPr>
              <w:tab/>
            </w:r>
            <w:r w:rsidRPr="00106A2A">
              <w:rPr>
                <w:rFonts w:eastAsia="Calibri"/>
                <w:b/>
                <w:i/>
                <w:noProof/>
                <w:u w:val="single"/>
                <w:lang w:eastAsia="en-US"/>
              </w:rPr>
              <w:t>Описание на компонента</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_Toc128649678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126</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679" w:history="1">
            <w:r w:rsidRPr="00106A2A">
              <w:rPr>
                <w:b/>
                <w:bCs/>
                <w:i/>
                <w:iCs/>
                <w:noProof/>
                <w:u w:val="single"/>
                <w:lang w:eastAsia="en-US"/>
              </w:rPr>
              <w:t>(ii)</w:t>
            </w:r>
            <w:r w:rsidRPr="00106A2A">
              <w:rPr>
                <w:noProof/>
              </w:rPr>
              <w:tab/>
            </w:r>
            <w:r w:rsidRPr="00106A2A">
              <w:rPr>
                <w:rFonts w:eastAsia="Calibri"/>
                <w:b/>
                <w:i/>
                <w:noProof/>
                <w:u w:val="single"/>
                <w:lang w:eastAsia="en-US"/>
              </w:rPr>
              <w:t>Описание на мерките и инвестициите по компонента</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_Toc128649679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126</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680" w:history="1">
            <w:r w:rsidRPr="00106A2A">
              <w:rPr>
                <w:b/>
                <w:bCs/>
                <w:i/>
                <w:iCs/>
                <w:noProof/>
                <w:u w:val="single"/>
                <w:lang w:eastAsia="en-US"/>
              </w:rPr>
              <w:t>(iii)</w:t>
            </w:r>
            <w:r w:rsidRPr="00106A2A">
              <w:rPr>
                <w:noProof/>
              </w:rPr>
              <w:tab/>
            </w:r>
            <w:r w:rsidRPr="00106A2A">
              <w:rPr>
                <w:rFonts w:eastAsia="Calibri"/>
                <w:b/>
                <w:i/>
                <w:noProof/>
                <w:u w:val="single"/>
                <w:lang w:eastAsia="en-US"/>
              </w:rPr>
              <w:t>Ненанасяне на значителни вреди</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_Toc128649680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128</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681" w:history="1">
            <w:r w:rsidRPr="00106A2A">
              <w:rPr>
                <w:b/>
                <w:bCs/>
                <w:i/>
                <w:iCs/>
                <w:noProof/>
                <w:u w:val="single"/>
                <w:lang w:eastAsia="en-US"/>
              </w:rPr>
              <w:t>(iv)</w:t>
            </w:r>
            <w:r w:rsidRPr="00106A2A">
              <w:rPr>
                <w:noProof/>
              </w:rPr>
              <w:tab/>
            </w:r>
            <w:r w:rsidRPr="00106A2A">
              <w:rPr>
                <w:rFonts w:eastAsia="Calibri"/>
                <w:b/>
                <w:i/>
                <w:noProof/>
                <w:u w:val="single"/>
                <w:lang w:eastAsia="en-US"/>
              </w:rPr>
              <w:t>Ключови етапи, цели и график</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_Toc128649681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128</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682" w:history="1">
            <w:r w:rsidRPr="00106A2A">
              <w:rPr>
                <w:b/>
                <w:bCs/>
                <w:i/>
                <w:iCs/>
                <w:noProof/>
                <w:u w:val="single"/>
                <w:lang w:eastAsia="en-US"/>
              </w:rPr>
              <w:t>(v)</w:t>
            </w:r>
            <w:r w:rsidRPr="00106A2A">
              <w:rPr>
                <w:noProof/>
              </w:rPr>
              <w:tab/>
            </w:r>
            <w:r w:rsidRPr="00106A2A">
              <w:rPr>
                <w:rFonts w:eastAsia="Calibri"/>
                <w:b/>
                <w:i/>
                <w:noProof/>
                <w:u w:val="single"/>
                <w:lang w:eastAsia="en-US"/>
              </w:rPr>
              <w:t>Финансиране и разходи</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_Toc128649682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129</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683" w:history="1">
            <w:r w:rsidRPr="00106A2A">
              <w:rPr>
                <w:b/>
                <w:bCs/>
                <w:i/>
                <w:iCs/>
                <w:noProof/>
                <w:u w:val="single"/>
                <w:lang w:eastAsia="en-US"/>
              </w:rPr>
              <w:t>(vi)</w:t>
            </w:r>
            <w:r w:rsidRPr="00106A2A">
              <w:rPr>
                <w:noProof/>
              </w:rPr>
              <w:tab/>
            </w:r>
            <w:r w:rsidRPr="00106A2A">
              <w:rPr>
                <w:rFonts w:eastAsia="Calibri"/>
                <w:b/>
                <w:i/>
                <w:noProof/>
                <w:u w:val="single"/>
                <w:lang w:eastAsia="en-US"/>
              </w:rPr>
              <w:t>Обосновка за субекти бенефициери, различни от уязвими домакинства, уязвими микропредприятия и уязвими ползватели на транспорт (ако е приложимо)</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_Toc128649683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130</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684" w:history="1">
            <w:r w:rsidRPr="00106A2A">
              <w:rPr>
                <w:b/>
                <w:bCs/>
                <w:i/>
                <w:iCs/>
                <w:noProof/>
                <w:u w:val="single"/>
                <w:lang w:eastAsia="en-US"/>
              </w:rPr>
              <w:t>(vii)</w:t>
            </w:r>
            <w:r w:rsidRPr="00106A2A">
              <w:rPr>
                <w:noProof/>
              </w:rPr>
              <w:tab/>
            </w:r>
            <w:r w:rsidRPr="00106A2A">
              <w:rPr>
                <w:rFonts w:eastAsia="Calibri"/>
                <w:b/>
                <w:i/>
                <w:noProof/>
                <w:u w:val="single"/>
                <w:lang w:eastAsia="en-US"/>
              </w:rPr>
              <w:t>Прогнозни общи разходи за компонента</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_Toc128649684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130</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685" w:history="1">
            <w:r w:rsidRPr="00106A2A">
              <w:rPr>
                <w:b/>
                <w:bCs/>
                <w:i/>
                <w:iCs/>
                <w:noProof/>
                <w:u w:val="single"/>
                <w:lang w:eastAsia="en-US"/>
              </w:rPr>
              <w:t>(viii)</w:t>
            </w:r>
            <w:r w:rsidRPr="00106A2A">
              <w:rPr>
                <w:noProof/>
              </w:rPr>
              <w:tab/>
            </w:r>
            <w:r w:rsidRPr="00106A2A">
              <w:rPr>
                <w:rFonts w:eastAsia="Calibri"/>
                <w:b/>
                <w:i/>
                <w:noProof/>
                <w:u w:val="single"/>
                <w:lang w:eastAsia="en-US"/>
              </w:rPr>
              <w:t>Сценарий в случай на по-късно задействане на системата за търговия с емисии</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_Toc128649685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131</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686" w:history="1">
            <w:r w:rsidRPr="00106A2A">
              <w:rPr>
                <w:rFonts w:eastAsia="Calibri"/>
                <w:b/>
                <w:i/>
                <w:noProof/>
                <w:u w:val="single"/>
                <w:lang w:eastAsia="en-US"/>
              </w:rPr>
              <w:t>2.2. КОМПОНЕНТ [3]: пряко подпомагане на доходите</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_Toc128649686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131</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687" w:history="1">
            <w:r w:rsidRPr="00106A2A">
              <w:rPr>
                <w:b/>
                <w:bCs/>
                <w:i/>
                <w:iCs/>
                <w:noProof/>
                <w:u w:val="single"/>
                <w:lang w:eastAsia="en-US"/>
              </w:rPr>
              <w:t>(i)</w:t>
            </w:r>
            <w:r w:rsidRPr="00106A2A">
              <w:rPr>
                <w:noProof/>
              </w:rPr>
              <w:tab/>
            </w:r>
            <w:r w:rsidRPr="00106A2A">
              <w:rPr>
                <w:rFonts w:eastAsia="Calibri"/>
                <w:b/>
                <w:i/>
                <w:noProof/>
                <w:u w:val="single"/>
                <w:lang w:eastAsia="en-US"/>
              </w:rPr>
              <w:t>Описание на компонента</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_Toc128649687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131</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688" w:history="1">
            <w:r w:rsidRPr="00106A2A">
              <w:rPr>
                <w:b/>
                <w:bCs/>
                <w:i/>
                <w:iCs/>
                <w:noProof/>
                <w:u w:val="single"/>
                <w:lang w:eastAsia="en-US"/>
              </w:rPr>
              <w:t>(ii)</w:t>
            </w:r>
            <w:r w:rsidRPr="00106A2A">
              <w:rPr>
                <w:noProof/>
              </w:rPr>
              <w:tab/>
            </w:r>
            <w:r w:rsidRPr="00106A2A">
              <w:rPr>
                <w:rFonts w:eastAsia="Calibri"/>
                <w:b/>
                <w:i/>
                <w:noProof/>
                <w:u w:val="single"/>
                <w:lang w:eastAsia="en-US"/>
              </w:rPr>
              <w:t>Описание на мерките по компонента</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_Toc128649688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132</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689" w:history="1">
            <w:r w:rsidRPr="00106A2A">
              <w:rPr>
                <w:b/>
                <w:bCs/>
                <w:i/>
                <w:iCs/>
                <w:noProof/>
                <w:u w:val="single"/>
                <w:lang w:eastAsia="en-US"/>
              </w:rPr>
              <w:t>(iii)</w:t>
            </w:r>
            <w:r w:rsidRPr="00106A2A">
              <w:rPr>
                <w:noProof/>
              </w:rPr>
              <w:tab/>
            </w:r>
            <w:r w:rsidRPr="00106A2A">
              <w:rPr>
                <w:rFonts w:eastAsia="Calibri"/>
                <w:b/>
                <w:i/>
                <w:noProof/>
                <w:u w:val="single"/>
                <w:lang w:eastAsia="en-US"/>
              </w:rPr>
              <w:t>Ключови етапи и цели за мерките за пряко подпомагане на доходите</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_Toc128649689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133</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690" w:history="1">
            <w:r w:rsidRPr="00106A2A">
              <w:rPr>
                <w:b/>
                <w:bCs/>
                <w:i/>
                <w:iCs/>
                <w:noProof/>
                <w:u w:val="single"/>
                <w:lang w:eastAsia="en-US"/>
              </w:rPr>
              <w:t>(iv)</w:t>
            </w:r>
            <w:r w:rsidRPr="00106A2A">
              <w:rPr>
                <w:noProof/>
              </w:rPr>
              <w:tab/>
            </w:r>
            <w:r w:rsidRPr="00106A2A">
              <w:rPr>
                <w:rFonts w:eastAsia="Calibri"/>
                <w:b/>
                <w:i/>
                <w:noProof/>
                <w:u w:val="single"/>
                <w:lang w:eastAsia="en-US"/>
              </w:rPr>
              <w:t>Обосновка на мерките</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_Toc128649690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134</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691" w:history="1">
            <w:r w:rsidRPr="00106A2A">
              <w:rPr>
                <w:b/>
                <w:bCs/>
                <w:i/>
                <w:iCs/>
                <w:noProof/>
                <w:u w:val="single"/>
                <w:lang w:eastAsia="en-US"/>
              </w:rPr>
              <w:t>(v)</w:t>
            </w:r>
            <w:r w:rsidRPr="00106A2A">
              <w:rPr>
                <w:noProof/>
              </w:rPr>
              <w:tab/>
            </w:r>
            <w:r w:rsidRPr="00106A2A">
              <w:rPr>
                <w:rFonts w:eastAsia="Calibri"/>
                <w:b/>
                <w:i/>
                <w:noProof/>
                <w:u w:val="single"/>
                <w:lang w:eastAsia="en-US"/>
              </w:rPr>
              <w:t>Разходи за мерките</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_Toc128649691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135</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692" w:history="1">
            <w:r w:rsidRPr="00106A2A">
              <w:rPr>
                <w:b/>
                <w:bCs/>
                <w:i/>
                <w:iCs/>
                <w:noProof/>
                <w:u w:val="single"/>
                <w:lang w:eastAsia="en-US"/>
              </w:rPr>
              <w:t>(vi)</w:t>
            </w:r>
            <w:r w:rsidRPr="00106A2A">
              <w:rPr>
                <w:noProof/>
              </w:rPr>
              <w:tab/>
            </w:r>
            <w:r w:rsidRPr="00106A2A">
              <w:rPr>
                <w:rFonts w:eastAsia="Calibri"/>
                <w:b/>
                <w:i/>
                <w:noProof/>
                <w:u w:val="single"/>
                <w:lang w:eastAsia="en-US"/>
              </w:rPr>
              <w:t>Обосновка за субектите бенефициери, различни от уязвими домакинства и уязвими ползватели на транспорт (ако е приложимо)</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_Toc128649692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135</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693" w:history="1">
            <w:r w:rsidRPr="00106A2A">
              <w:rPr>
                <w:b/>
                <w:bCs/>
                <w:i/>
                <w:iCs/>
                <w:noProof/>
                <w:u w:val="single"/>
                <w:lang w:eastAsia="en-US"/>
              </w:rPr>
              <w:t>(vii)</w:t>
            </w:r>
            <w:r w:rsidRPr="00106A2A">
              <w:rPr>
                <w:noProof/>
              </w:rPr>
              <w:tab/>
            </w:r>
            <w:r w:rsidRPr="00106A2A">
              <w:rPr>
                <w:rFonts w:eastAsia="Calibri"/>
                <w:b/>
                <w:i/>
                <w:noProof/>
                <w:u w:val="single"/>
                <w:lang w:eastAsia="en-US"/>
              </w:rPr>
              <w:t>Прогнозни разходи в плана за компонента за пряко подпомагане на доходите</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_Toc128649693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136</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694" w:history="1">
            <w:r w:rsidRPr="00106A2A">
              <w:rPr>
                <w:b/>
                <w:bCs/>
                <w:i/>
                <w:iCs/>
                <w:noProof/>
                <w:u w:val="single"/>
                <w:lang w:eastAsia="en-US"/>
              </w:rPr>
              <w:t>(viii)</w:t>
            </w:r>
            <w:r w:rsidRPr="00106A2A">
              <w:rPr>
                <w:noProof/>
              </w:rPr>
              <w:tab/>
            </w:r>
            <w:r w:rsidRPr="00106A2A">
              <w:rPr>
                <w:rFonts w:eastAsia="Calibri"/>
                <w:b/>
                <w:i/>
                <w:noProof/>
                <w:u w:val="single"/>
                <w:lang w:eastAsia="en-US"/>
              </w:rPr>
              <w:t>Сценарий в случай на по-късно задействане на системата за търговия с емисии</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_Toc128649694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136</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695" w:history="1">
            <w:r w:rsidRPr="00106A2A">
              <w:rPr>
                <w:rFonts w:eastAsia="Calibri"/>
                <w:b/>
                <w:i/>
                <w:noProof/>
                <w:u w:val="single"/>
                <w:lang w:eastAsia="en-US"/>
              </w:rPr>
              <w:t>2.3. Техническа помощ</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_Toc128649695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137</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696" w:history="1">
            <w:r w:rsidRPr="00106A2A">
              <w:rPr>
                <w:rFonts w:eastAsia="Calibri"/>
                <w:b/>
                <w:i/>
                <w:noProof/>
                <w:u w:val="single"/>
                <w:lang w:eastAsia="en-US"/>
              </w:rPr>
              <w:t>2.4. Прехвърляне към програми, изпълнявани при условията на споделено управление</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_Toc128649696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137</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697" w:history="1">
            <w:r w:rsidRPr="00106A2A">
              <w:rPr>
                <w:rFonts w:eastAsia="Calibri"/>
                <w:b/>
                <w:i/>
                <w:noProof/>
                <w:u w:val="single"/>
                <w:lang w:eastAsia="en-US"/>
              </w:rPr>
              <w:t>2.5. Общо разходи</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_Toc128649697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137</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698" w:history="1">
            <w:r w:rsidRPr="00106A2A">
              <w:rPr>
                <w:b/>
                <w:bCs/>
                <w:i/>
                <w:iCs/>
                <w:noProof/>
                <w:u w:val="single"/>
                <w:lang w:eastAsia="en-US"/>
              </w:rPr>
              <w:t>3.</w:t>
            </w:r>
            <w:r w:rsidRPr="00106A2A">
              <w:rPr>
                <w:noProof/>
              </w:rPr>
              <w:tab/>
            </w:r>
            <w:r w:rsidRPr="00106A2A">
              <w:rPr>
                <w:rFonts w:eastAsia="Calibri"/>
                <w:b/>
                <w:i/>
                <w:noProof/>
                <w:u w:val="single"/>
                <w:lang w:eastAsia="en-US"/>
              </w:rPr>
              <w:t>АНАЛИЗ И ЦЯЛОСТНО ВЪЗДЕЙСТВИЕ</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_Toc128649698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139</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699" w:history="1">
            <w:r w:rsidRPr="00106A2A">
              <w:rPr>
                <w:rFonts w:eastAsia="Calibri"/>
                <w:b/>
                <w:i/>
                <w:noProof/>
                <w:u w:val="single"/>
                <w:lang w:eastAsia="en-US"/>
              </w:rPr>
              <w:t>3.1. Определения</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_Toc128649699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139</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700" w:history="1">
            <w:r w:rsidRPr="00106A2A">
              <w:rPr>
                <w:rFonts w:eastAsia="Calibri"/>
                <w:b/>
                <w:i/>
                <w:noProof/>
                <w:u w:val="single"/>
                <w:lang w:eastAsia="en-US"/>
              </w:rPr>
              <w:t>3.2. Прогнозирано въздействие върху уязвимите групи</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_Toc128649700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139</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701" w:history="1">
            <w:r w:rsidRPr="00106A2A">
              <w:rPr>
                <w:rFonts w:eastAsia="Calibri"/>
                <w:b/>
                <w:i/>
                <w:noProof/>
                <w:u w:val="single"/>
                <w:lang w:eastAsia="en-US"/>
              </w:rPr>
              <w:t>3.3. Прогнозно въздействие на планираните мерки и инвестиции</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_Toc128649701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140</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702" w:history="1">
            <w:r w:rsidRPr="00106A2A">
              <w:rPr>
                <w:b/>
                <w:bCs/>
                <w:i/>
                <w:iCs/>
                <w:noProof/>
                <w:u w:val="single"/>
                <w:lang w:eastAsia="en-US"/>
              </w:rPr>
              <w:t>4.</w:t>
            </w:r>
            <w:r w:rsidRPr="00106A2A">
              <w:rPr>
                <w:noProof/>
              </w:rPr>
              <w:tab/>
            </w:r>
            <w:r w:rsidRPr="00106A2A">
              <w:rPr>
                <w:rFonts w:eastAsia="Calibri"/>
                <w:b/>
                <w:i/>
                <w:noProof/>
                <w:u w:val="single"/>
                <w:lang w:eastAsia="en-US"/>
              </w:rPr>
              <w:t>ВЗАИМНО ДОПЪЛВАНЕ, ДОПЪЛНЯЕМОСТ И ИЗПЪЛНЕНИЕ НА ПЛАНА</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_Toc128649702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143</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703" w:history="1">
            <w:r w:rsidRPr="00106A2A">
              <w:rPr>
                <w:rFonts w:eastAsia="Calibri"/>
                <w:b/>
                <w:i/>
                <w:noProof/>
                <w:u w:val="single"/>
                <w:lang w:eastAsia="en-US"/>
              </w:rPr>
              <w:t>4.1. Мониторинг и изпълнение на плана</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_Toc128649703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143</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704" w:history="1">
            <w:r w:rsidRPr="00106A2A">
              <w:rPr>
                <w:rFonts w:eastAsia="Calibri"/>
                <w:b/>
                <w:i/>
                <w:noProof/>
                <w:u w:val="single"/>
                <w:lang w:eastAsia="en-US"/>
              </w:rPr>
              <w:t>4.2. Съгласуваност с други инициативи</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_Toc128649704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143</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705" w:history="1">
            <w:r w:rsidRPr="00106A2A">
              <w:rPr>
                <w:rFonts w:eastAsia="Calibri"/>
                <w:b/>
                <w:i/>
                <w:noProof/>
                <w:u w:val="single"/>
                <w:lang w:eastAsia="en-US"/>
              </w:rPr>
              <w:t>4.3. Взаимно допълване на финансирането</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_Toc128649705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144</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706" w:history="1">
            <w:r w:rsidRPr="00106A2A">
              <w:rPr>
                <w:rFonts w:eastAsia="Calibri"/>
                <w:b/>
                <w:i/>
                <w:noProof/>
                <w:u w:val="single"/>
                <w:lang w:eastAsia="en-US"/>
              </w:rPr>
              <w:t>4.4. Допълняемост</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_Toc128649706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144</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707" w:history="1">
            <w:r w:rsidRPr="00106A2A">
              <w:rPr>
                <w:rFonts w:eastAsia="Calibri"/>
                <w:b/>
                <w:i/>
                <w:noProof/>
                <w:u w:val="single"/>
                <w:lang w:eastAsia="en-US"/>
              </w:rPr>
              <w:t>4.5. Географски особености</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_Toc128649707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144</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708" w:history="1">
            <w:r w:rsidRPr="00106A2A">
              <w:rPr>
                <w:rFonts w:eastAsia="Calibri"/>
                <w:b/>
                <w:i/>
                <w:noProof/>
                <w:u w:val="single"/>
                <w:lang w:eastAsia="en-US"/>
              </w:rPr>
              <w:t>4.6. Предотвратяване на корупцията, измамите и конфликтите на интереси</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_Toc128649708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145</w:t>
            </w:r>
            <w:r w:rsidRPr="00106A2A">
              <w:rPr>
                <w:rFonts w:eastAsia="Calibri"/>
                <w:noProof/>
                <w:webHidden/>
                <w:lang w:eastAsia="en-US"/>
              </w:rPr>
              <w:fldChar w:fldCharType="end"/>
            </w:r>
          </w:hyperlink>
        </w:p>
        <w:p w:rsidR="00106A2A" w:rsidRPr="00106A2A" w:rsidRDefault="00106A2A" w:rsidP="00106A2A">
          <w:pPr>
            <w:widowControl/>
            <w:tabs>
              <w:tab w:val="right" w:leader="dot" w:pos="9071"/>
            </w:tabs>
            <w:spacing w:before="100" w:line="259" w:lineRule="auto"/>
            <w:ind w:left="850" w:hanging="850"/>
            <w:rPr>
              <w:noProof/>
            </w:rPr>
          </w:pPr>
          <w:hyperlink w:anchor="_Toc128649709" w:history="1">
            <w:r w:rsidRPr="00106A2A">
              <w:rPr>
                <w:rFonts w:eastAsia="Calibri"/>
                <w:b/>
                <w:i/>
                <w:noProof/>
                <w:u w:val="single"/>
                <w:lang w:eastAsia="en-US"/>
              </w:rPr>
              <w:t>4.7. Информация и комуникация</w:t>
            </w:r>
            <w:r w:rsidRPr="00106A2A">
              <w:rPr>
                <w:rFonts w:eastAsia="Calibri"/>
                <w:noProof/>
                <w:webHidden/>
                <w:lang w:eastAsia="en-US"/>
              </w:rPr>
              <w:tab/>
            </w:r>
            <w:r w:rsidRPr="00106A2A">
              <w:rPr>
                <w:rFonts w:eastAsia="Calibri"/>
                <w:noProof/>
                <w:webHidden/>
                <w:lang w:eastAsia="en-US"/>
              </w:rPr>
              <w:fldChar w:fldCharType="begin"/>
            </w:r>
            <w:r w:rsidRPr="00106A2A">
              <w:rPr>
                <w:rFonts w:eastAsia="Calibri"/>
                <w:noProof/>
                <w:webHidden/>
                <w:lang w:eastAsia="en-US"/>
              </w:rPr>
              <w:instrText xml:space="preserve"> PAGEREF _Toc128649709 \h </w:instrText>
            </w:r>
            <w:r w:rsidRPr="00106A2A">
              <w:rPr>
                <w:rFonts w:eastAsia="Calibri"/>
                <w:noProof/>
                <w:webHidden/>
                <w:lang w:eastAsia="en-US"/>
              </w:rPr>
            </w:r>
            <w:r w:rsidRPr="00106A2A">
              <w:rPr>
                <w:rFonts w:eastAsia="Calibri"/>
                <w:noProof/>
                <w:webHidden/>
                <w:lang w:eastAsia="en-US"/>
              </w:rPr>
              <w:fldChar w:fldCharType="separate"/>
            </w:r>
            <w:r w:rsidRPr="00106A2A">
              <w:rPr>
                <w:rFonts w:eastAsia="Calibri"/>
                <w:noProof/>
                <w:webHidden/>
                <w:lang w:eastAsia="en-US"/>
              </w:rPr>
              <w:t>145</w:t>
            </w:r>
            <w:r w:rsidRPr="00106A2A">
              <w:rPr>
                <w:rFonts w:eastAsia="Calibri"/>
                <w:noProof/>
                <w:webHidden/>
                <w:lang w:eastAsia="en-US"/>
              </w:rPr>
              <w:fldChar w:fldCharType="end"/>
            </w:r>
          </w:hyperlink>
        </w:p>
        <w:p w:rsidR="00106A2A" w:rsidRPr="00106A2A" w:rsidRDefault="00106A2A" w:rsidP="00106A2A">
          <w:pPr>
            <w:widowControl/>
            <w:spacing w:before="100" w:line="259" w:lineRule="auto"/>
            <w:jc w:val="both"/>
            <w:rPr>
              <w:rFonts w:eastAsia="Calibri"/>
              <w:b/>
              <w:i/>
              <w:lang w:eastAsia="en-US"/>
            </w:rPr>
          </w:pPr>
          <w:r w:rsidRPr="00106A2A">
            <w:rPr>
              <w:rFonts w:eastAsia="Calibri"/>
              <w:b/>
              <w:i/>
              <w:lang w:eastAsia="en-US"/>
            </w:rPr>
            <w:fldChar w:fldCharType="end"/>
          </w:r>
        </w:p>
        <w:p w:rsidR="00106A2A" w:rsidRPr="00106A2A" w:rsidRDefault="00106A2A" w:rsidP="00106A2A">
          <w:pPr>
            <w:widowControl/>
            <w:spacing w:before="120" w:after="160" w:line="259" w:lineRule="auto"/>
            <w:jc w:val="both"/>
            <w:rPr>
              <w:rFonts w:eastAsia="Calibri"/>
              <w:b/>
              <w:bCs/>
              <w:i/>
              <w:iCs/>
              <w:lang w:eastAsia="en-US"/>
            </w:rPr>
          </w:pPr>
          <w:r w:rsidRPr="00106A2A">
            <w:rPr>
              <w:rFonts w:eastAsia="Calibri"/>
              <w:lang w:eastAsia="en-US"/>
            </w:rPr>
            <w:br w:type="page"/>
          </w:r>
        </w:p>
      </w:sdtContent>
    </w:sdt>
    <w:p w:rsidR="00106A2A" w:rsidRPr="00106A2A" w:rsidRDefault="00106A2A" w:rsidP="00106A2A">
      <w:pPr>
        <w:keepNext/>
        <w:keepLines/>
        <w:widowControl/>
        <w:spacing w:before="240" w:line="259" w:lineRule="auto"/>
        <w:ind w:left="360" w:hanging="360"/>
        <w:jc w:val="both"/>
        <w:outlineLvl w:val="0"/>
        <w:rPr>
          <w:b/>
          <w:bCs/>
          <w:i/>
          <w:iCs/>
          <w:lang w:eastAsia="en-US"/>
        </w:rPr>
      </w:pPr>
      <w:bookmarkStart w:id="3" w:name="_Toc128649673"/>
      <w:r w:rsidRPr="00106A2A">
        <w:rPr>
          <w:b/>
          <w:bCs/>
          <w:i/>
          <w:iCs/>
          <w:lang w:eastAsia="en-US"/>
        </w:rPr>
        <w:t>1.</w:t>
      </w:r>
      <w:r w:rsidRPr="00106A2A">
        <w:rPr>
          <w:b/>
          <w:bCs/>
          <w:i/>
          <w:iCs/>
          <w:lang w:eastAsia="en-US"/>
        </w:rPr>
        <w:tab/>
      </w:r>
      <w:r w:rsidRPr="00106A2A">
        <w:rPr>
          <w:rFonts w:eastAsia="Calibri"/>
          <w:b/>
          <w:i/>
          <w:lang w:eastAsia="en-US"/>
        </w:rPr>
        <w:t>ПРЕГЛЕД И ПРОЦЕС НА ОПРЕДЕЛЯНЕ НА СОЦИАЛНИЯ ПЛАН ЗА КЛИМАТА</w:t>
      </w:r>
      <w:bookmarkEnd w:id="3"/>
    </w:p>
    <w:p w:rsidR="00106A2A" w:rsidRPr="00106A2A" w:rsidRDefault="00106A2A" w:rsidP="00106A2A">
      <w:pPr>
        <w:keepNext/>
        <w:keepLines/>
        <w:widowControl/>
        <w:spacing w:before="240" w:after="160" w:line="259" w:lineRule="auto"/>
        <w:ind w:left="567" w:hanging="567"/>
        <w:jc w:val="both"/>
        <w:outlineLvl w:val="1"/>
        <w:rPr>
          <w:b/>
          <w:bCs/>
          <w:i/>
          <w:iCs/>
          <w:u w:val="single"/>
          <w:lang w:eastAsia="en-US"/>
        </w:rPr>
      </w:pPr>
      <w:bookmarkStart w:id="4" w:name="_Toc128649674"/>
      <w:r w:rsidRPr="00106A2A">
        <w:rPr>
          <w:rFonts w:eastAsia="Calibri"/>
          <w:b/>
          <w:i/>
          <w:lang w:eastAsia="en-US"/>
        </w:rPr>
        <w:t>1.1</w:t>
      </w:r>
      <w:r w:rsidRPr="00106A2A">
        <w:rPr>
          <w:rFonts w:eastAsia="Calibri"/>
          <w:b/>
          <w:i/>
          <w:lang w:eastAsia="en-US"/>
        </w:rPr>
        <w:tab/>
        <w:t>Резюме</w:t>
      </w:r>
      <w:bookmarkEnd w:id="4"/>
    </w:p>
    <w:p w:rsidR="00106A2A" w:rsidRPr="00106A2A" w:rsidRDefault="00106A2A" w:rsidP="00106A2A">
      <w:pPr>
        <w:widowControl/>
        <w:spacing w:before="100" w:beforeAutospacing="1" w:after="100" w:afterAutospacing="1" w:line="312" w:lineRule="auto"/>
        <w:rPr>
          <w:rFonts w:eastAsia="Calibri"/>
          <w:b/>
          <w:bCs/>
          <w:i/>
          <w:iCs/>
          <w:lang w:eastAsia="en-US"/>
        </w:rPr>
      </w:pPr>
      <w:r w:rsidRPr="00106A2A">
        <w:rPr>
          <w:rFonts w:eastAsia="Calibri"/>
          <w:b/>
          <w:i/>
          <w:lang w:eastAsia="en-US"/>
        </w:rPr>
        <w:t>Контекстът на екологичния преход в държавата членка със специален акцент върху основните предизвикателства, пораждани от социалното въздействие на включването на емисиите на парникови газове от секторите на сградите и автомобилния транспорт в приложното поле на Директива 2003/87/ЕО, и предложените в плана начини за справяне с тези предизвикателства.</w:t>
      </w:r>
    </w:p>
    <w:p w:rsidR="00106A2A" w:rsidRPr="00106A2A" w:rsidRDefault="00106A2A" w:rsidP="00106A2A">
      <w:pPr>
        <w:widowControl/>
        <w:spacing w:before="120" w:after="160" w:line="312" w:lineRule="auto"/>
        <w:rPr>
          <w:rFonts w:eastAsia="Calibri"/>
          <w:b/>
          <w:bCs/>
          <w:i/>
          <w:iCs/>
          <w:lang w:eastAsia="en-US"/>
        </w:rPr>
      </w:pPr>
      <w:r w:rsidRPr="00106A2A">
        <w:rPr>
          <w:rFonts w:eastAsia="Calibri"/>
          <w:b/>
          <w:i/>
          <w:lang w:eastAsia="en-US"/>
        </w:rPr>
        <w:t>Обзорна таблица, обобщаваща основните цели на плана, заедно с прогнозните общи разходи за плана, включително приноса от Фонда, националния принос и ресурсите от програмите, изпълнявани при условията на споделено управление, които ще бъдат прехвърлени към Фонда, разпределени в трите области на интервенция: мерки и инвестиции за сектор „Сгради“, мерки и инвестиции за сектора на автомобилния транспорт и мерки за пряко подпомагане на доходите въз основа на образеца по-долу:</w:t>
      </w:r>
    </w:p>
    <w:p w:rsidR="00106A2A" w:rsidRPr="00106A2A" w:rsidRDefault="00106A2A" w:rsidP="00106A2A">
      <w:pPr>
        <w:autoSpaceDE w:val="0"/>
        <w:autoSpaceDN w:val="0"/>
        <w:spacing w:before="160" w:line="256" w:lineRule="auto"/>
        <w:jc w:val="both"/>
        <w:outlineLvl w:val="2"/>
        <w:rPr>
          <w:rFonts w:eastAsia="Calibri"/>
          <w:b/>
          <w:bCs/>
          <w:i/>
          <w:iCs/>
          <w:lang w:eastAsia="en-US"/>
        </w:rPr>
      </w:pPr>
    </w:p>
    <w:tbl>
      <w:tblPr>
        <w:tblStyle w:val="TableGrid1"/>
        <w:tblW w:w="9351" w:type="dxa"/>
        <w:tblLayout w:type="fixed"/>
        <w:tblLook w:val="04A0" w:firstRow="1" w:lastRow="0" w:firstColumn="1" w:lastColumn="0" w:noHBand="0" w:noVBand="1"/>
      </w:tblPr>
      <w:tblGrid>
        <w:gridCol w:w="1555"/>
        <w:gridCol w:w="1559"/>
        <w:gridCol w:w="1984"/>
        <w:gridCol w:w="1701"/>
        <w:gridCol w:w="1418"/>
        <w:gridCol w:w="1134"/>
      </w:tblGrid>
      <w:tr w:rsidR="00106A2A" w:rsidRPr="00106A2A" w:rsidTr="006919B6">
        <w:trPr>
          <w:trHeight w:val="630"/>
        </w:trPr>
        <w:tc>
          <w:tcPr>
            <w:tcW w:w="1555" w:type="dxa"/>
            <w:vMerge w:val="restart"/>
          </w:tcPr>
          <w:p w:rsidR="00106A2A" w:rsidRPr="00106A2A" w:rsidRDefault="00106A2A" w:rsidP="00106A2A">
            <w:pPr>
              <w:widowControl/>
              <w:rPr>
                <w:b/>
                <w:bCs/>
                <w:i/>
                <w:iCs/>
              </w:rPr>
            </w:pPr>
            <w:r w:rsidRPr="00106A2A">
              <w:rPr>
                <w:b/>
                <w:i/>
              </w:rPr>
              <w:t>Област на интервенция</w:t>
            </w:r>
          </w:p>
        </w:tc>
        <w:tc>
          <w:tcPr>
            <w:tcW w:w="1559" w:type="dxa"/>
            <w:vMerge w:val="restart"/>
          </w:tcPr>
          <w:p w:rsidR="00106A2A" w:rsidRPr="00106A2A" w:rsidRDefault="00106A2A" w:rsidP="00106A2A">
            <w:pPr>
              <w:widowControl/>
              <w:rPr>
                <w:b/>
                <w:bCs/>
                <w:i/>
                <w:iCs/>
              </w:rPr>
            </w:pPr>
            <w:r w:rsidRPr="00106A2A">
              <w:rPr>
                <w:b/>
                <w:i/>
              </w:rPr>
              <w:t>Общи разходи (в абсолютна стойност и % от общото финансиране) по източници на финансиране</w:t>
            </w:r>
          </w:p>
        </w:tc>
        <w:tc>
          <w:tcPr>
            <w:tcW w:w="1984" w:type="dxa"/>
            <w:vMerge w:val="restart"/>
          </w:tcPr>
          <w:p w:rsidR="00106A2A" w:rsidRPr="00106A2A" w:rsidRDefault="00106A2A" w:rsidP="00106A2A">
            <w:pPr>
              <w:widowControl/>
              <w:rPr>
                <w:b/>
                <w:bCs/>
                <w:i/>
                <w:iCs/>
              </w:rPr>
            </w:pPr>
            <w:r w:rsidRPr="00106A2A">
              <w:rPr>
                <w:b/>
                <w:i/>
              </w:rPr>
              <w:t>Преглед на основните планирани мерки и инвестиции</w:t>
            </w:r>
          </w:p>
        </w:tc>
        <w:tc>
          <w:tcPr>
            <w:tcW w:w="1701" w:type="dxa"/>
            <w:vMerge w:val="restart"/>
          </w:tcPr>
          <w:p w:rsidR="00106A2A" w:rsidRPr="00106A2A" w:rsidRDefault="00106A2A" w:rsidP="00106A2A">
            <w:pPr>
              <w:widowControl/>
              <w:rPr>
                <w:b/>
                <w:bCs/>
                <w:i/>
                <w:iCs/>
              </w:rPr>
            </w:pPr>
            <w:r w:rsidRPr="00106A2A">
              <w:rPr>
                <w:b/>
                <w:i/>
              </w:rPr>
              <w:t>Цели</w:t>
            </w:r>
          </w:p>
          <w:p w:rsidR="00106A2A" w:rsidRPr="00106A2A" w:rsidRDefault="00106A2A" w:rsidP="00106A2A">
            <w:pPr>
              <w:widowControl/>
              <w:rPr>
                <w:b/>
                <w:bCs/>
                <w:i/>
                <w:iCs/>
              </w:rPr>
            </w:pPr>
            <w:r w:rsidRPr="00106A2A">
              <w:rPr>
                <w:b/>
                <w:i/>
              </w:rPr>
              <w:t>на мерките и инвестициите</w:t>
            </w:r>
          </w:p>
        </w:tc>
        <w:tc>
          <w:tcPr>
            <w:tcW w:w="2552" w:type="dxa"/>
            <w:gridSpan w:val="2"/>
          </w:tcPr>
          <w:p w:rsidR="00106A2A" w:rsidRPr="00106A2A" w:rsidRDefault="00106A2A" w:rsidP="00106A2A">
            <w:pPr>
              <w:widowControl/>
              <w:rPr>
                <w:b/>
                <w:bCs/>
                <w:i/>
                <w:iCs/>
              </w:rPr>
            </w:pPr>
            <w:r w:rsidRPr="00106A2A">
              <w:rPr>
                <w:b/>
                <w:i/>
              </w:rPr>
              <w:t>Въздействие на мерките и инвестициите</w:t>
            </w:r>
          </w:p>
          <w:p w:rsidR="00106A2A" w:rsidRPr="00106A2A" w:rsidRDefault="00106A2A" w:rsidP="00106A2A">
            <w:pPr>
              <w:widowControl/>
              <w:rPr>
                <w:b/>
                <w:bCs/>
                <w:i/>
                <w:iCs/>
              </w:rPr>
            </w:pPr>
          </w:p>
        </w:tc>
      </w:tr>
      <w:tr w:rsidR="00106A2A" w:rsidRPr="00106A2A" w:rsidTr="006919B6">
        <w:trPr>
          <w:trHeight w:val="762"/>
        </w:trPr>
        <w:tc>
          <w:tcPr>
            <w:tcW w:w="1555" w:type="dxa"/>
            <w:vMerge/>
          </w:tcPr>
          <w:p w:rsidR="00106A2A" w:rsidRPr="00106A2A" w:rsidRDefault="00106A2A" w:rsidP="00106A2A">
            <w:pPr>
              <w:widowControl/>
              <w:rPr>
                <w:b/>
                <w:bCs/>
                <w:i/>
                <w:iCs/>
              </w:rPr>
            </w:pPr>
          </w:p>
        </w:tc>
        <w:tc>
          <w:tcPr>
            <w:tcW w:w="1559" w:type="dxa"/>
            <w:vMerge/>
          </w:tcPr>
          <w:p w:rsidR="00106A2A" w:rsidRPr="00106A2A" w:rsidRDefault="00106A2A" w:rsidP="00106A2A">
            <w:pPr>
              <w:widowControl/>
              <w:rPr>
                <w:b/>
                <w:bCs/>
                <w:i/>
                <w:iCs/>
              </w:rPr>
            </w:pPr>
          </w:p>
        </w:tc>
        <w:tc>
          <w:tcPr>
            <w:tcW w:w="1984" w:type="dxa"/>
            <w:vMerge/>
          </w:tcPr>
          <w:p w:rsidR="00106A2A" w:rsidRPr="00106A2A" w:rsidRDefault="00106A2A" w:rsidP="00106A2A">
            <w:pPr>
              <w:widowControl/>
              <w:rPr>
                <w:b/>
                <w:bCs/>
                <w:i/>
                <w:iCs/>
              </w:rPr>
            </w:pPr>
          </w:p>
        </w:tc>
        <w:tc>
          <w:tcPr>
            <w:tcW w:w="1701" w:type="dxa"/>
            <w:vMerge/>
          </w:tcPr>
          <w:p w:rsidR="00106A2A" w:rsidRPr="00106A2A" w:rsidRDefault="00106A2A" w:rsidP="00106A2A">
            <w:pPr>
              <w:widowControl/>
              <w:rPr>
                <w:b/>
                <w:bCs/>
                <w:i/>
                <w:iCs/>
              </w:rPr>
            </w:pPr>
          </w:p>
        </w:tc>
        <w:tc>
          <w:tcPr>
            <w:tcW w:w="1418" w:type="dxa"/>
          </w:tcPr>
          <w:p w:rsidR="00106A2A" w:rsidRPr="00106A2A" w:rsidRDefault="00106A2A" w:rsidP="00106A2A">
            <w:pPr>
              <w:widowControl/>
              <w:rPr>
                <w:b/>
                <w:bCs/>
                <w:i/>
                <w:iCs/>
              </w:rPr>
            </w:pPr>
            <w:r w:rsidRPr="00106A2A">
              <w:rPr>
                <w:b/>
                <w:i/>
              </w:rPr>
              <w:t>Намаляване на броя на уязвимите домакинства и уязвимите ползватели на транспорт (единица: домакинства)</w:t>
            </w:r>
          </w:p>
        </w:tc>
        <w:tc>
          <w:tcPr>
            <w:tcW w:w="1134" w:type="dxa"/>
          </w:tcPr>
          <w:p w:rsidR="00106A2A" w:rsidRPr="00106A2A" w:rsidRDefault="00106A2A" w:rsidP="00106A2A">
            <w:pPr>
              <w:widowControl/>
              <w:rPr>
                <w:b/>
                <w:bCs/>
                <w:i/>
                <w:iCs/>
              </w:rPr>
            </w:pPr>
            <w:r w:rsidRPr="00106A2A">
              <w:rPr>
                <w:b/>
                <w:i/>
              </w:rPr>
              <w:t>Намаление на емисиите на CO</w:t>
            </w:r>
            <w:r w:rsidRPr="00106A2A">
              <w:rPr>
                <w:b/>
                <w:i/>
                <w:vertAlign w:val="subscript"/>
              </w:rPr>
              <w:t>2</w:t>
            </w:r>
          </w:p>
        </w:tc>
      </w:tr>
      <w:tr w:rsidR="00106A2A" w:rsidRPr="00106A2A" w:rsidTr="006919B6">
        <w:trPr>
          <w:trHeight w:val="794"/>
        </w:trPr>
        <w:tc>
          <w:tcPr>
            <w:tcW w:w="1555" w:type="dxa"/>
          </w:tcPr>
          <w:p w:rsidR="00106A2A" w:rsidRPr="00106A2A" w:rsidRDefault="00106A2A" w:rsidP="00106A2A">
            <w:pPr>
              <w:widowControl/>
              <w:rPr>
                <w:b/>
                <w:bCs/>
                <w:i/>
                <w:iCs/>
              </w:rPr>
            </w:pPr>
            <w:r w:rsidRPr="00106A2A">
              <w:rPr>
                <w:b/>
                <w:i/>
              </w:rPr>
              <w:t>Сектор „Сгради“</w:t>
            </w:r>
          </w:p>
        </w:tc>
        <w:tc>
          <w:tcPr>
            <w:tcW w:w="1559" w:type="dxa"/>
          </w:tcPr>
          <w:p w:rsidR="00106A2A" w:rsidRPr="00106A2A" w:rsidRDefault="00106A2A" w:rsidP="00106A2A">
            <w:pPr>
              <w:widowControl/>
              <w:rPr>
                <w:b/>
                <w:bCs/>
                <w:i/>
                <w:iCs/>
              </w:rPr>
            </w:pPr>
          </w:p>
        </w:tc>
        <w:tc>
          <w:tcPr>
            <w:tcW w:w="1984" w:type="dxa"/>
          </w:tcPr>
          <w:p w:rsidR="00106A2A" w:rsidRPr="00106A2A" w:rsidRDefault="00106A2A" w:rsidP="00106A2A">
            <w:pPr>
              <w:widowControl/>
              <w:rPr>
                <w:b/>
                <w:bCs/>
                <w:i/>
                <w:iCs/>
              </w:rPr>
            </w:pPr>
          </w:p>
        </w:tc>
        <w:tc>
          <w:tcPr>
            <w:tcW w:w="1701" w:type="dxa"/>
          </w:tcPr>
          <w:p w:rsidR="00106A2A" w:rsidRPr="00106A2A" w:rsidRDefault="00106A2A" w:rsidP="00106A2A">
            <w:pPr>
              <w:widowControl/>
              <w:rPr>
                <w:b/>
                <w:bCs/>
                <w:i/>
                <w:iCs/>
              </w:rPr>
            </w:pPr>
          </w:p>
        </w:tc>
        <w:tc>
          <w:tcPr>
            <w:tcW w:w="1418" w:type="dxa"/>
          </w:tcPr>
          <w:p w:rsidR="00106A2A" w:rsidRPr="00106A2A" w:rsidRDefault="00106A2A" w:rsidP="00106A2A">
            <w:pPr>
              <w:widowControl/>
              <w:rPr>
                <w:b/>
                <w:bCs/>
                <w:i/>
                <w:iCs/>
              </w:rPr>
            </w:pPr>
          </w:p>
        </w:tc>
        <w:tc>
          <w:tcPr>
            <w:tcW w:w="1134" w:type="dxa"/>
          </w:tcPr>
          <w:p w:rsidR="00106A2A" w:rsidRPr="00106A2A" w:rsidRDefault="00106A2A" w:rsidP="00106A2A">
            <w:pPr>
              <w:widowControl/>
              <w:rPr>
                <w:b/>
                <w:bCs/>
                <w:i/>
                <w:iCs/>
              </w:rPr>
            </w:pPr>
          </w:p>
        </w:tc>
      </w:tr>
      <w:tr w:rsidR="00106A2A" w:rsidRPr="00106A2A" w:rsidTr="006919B6">
        <w:tc>
          <w:tcPr>
            <w:tcW w:w="1555" w:type="dxa"/>
          </w:tcPr>
          <w:p w:rsidR="00106A2A" w:rsidRPr="00106A2A" w:rsidRDefault="00106A2A" w:rsidP="00106A2A">
            <w:pPr>
              <w:widowControl/>
              <w:rPr>
                <w:b/>
                <w:bCs/>
                <w:i/>
                <w:iCs/>
              </w:rPr>
            </w:pPr>
            <w:r w:rsidRPr="00106A2A">
              <w:rPr>
                <w:b/>
                <w:i/>
              </w:rPr>
              <w:t>Сектор на автомобилния транспорт</w:t>
            </w:r>
          </w:p>
        </w:tc>
        <w:tc>
          <w:tcPr>
            <w:tcW w:w="1559" w:type="dxa"/>
          </w:tcPr>
          <w:p w:rsidR="00106A2A" w:rsidRPr="00106A2A" w:rsidRDefault="00106A2A" w:rsidP="00106A2A">
            <w:pPr>
              <w:widowControl/>
              <w:rPr>
                <w:b/>
                <w:bCs/>
                <w:i/>
                <w:iCs/>
              </w:rPr>
            </w:pPr>
          </w:p>
        </w:tc>
        <w:tc>
          <w:tcPr>
            <w:tcW w:w="1984" w:type="dxa"/>
          </w:tcPr>
          <w:p w:rsidR="00106A2A" w:rsidRPr="00106A2A" w:rsidRDefault="00106A2A" w:rsidP="00106A2A">
            <w:pPr>
              <w:widowControl/>
              <w:rPr>
                <w:b/>
                <w:bCs/>
                <w:i/>
                <w:iCs/>
              </w:rPr>
            </w:pPr>
          </w:p>
        </w:tc>
        <w:tc>
          <w:tcPr>
            <w:tcW w:w="1701" w:type="dxa"/>
          </w:tcPr>
          <w:p w:rsidR="00106A2A" w:rsidRPr="00106A2A" w:rsidRDefault="00106A2A" w:rsidP="00106A2A">
            <w:pPr>
              <w:widowControl/>
              <w:rPr>
                <w:b/>
                <w:bCs/>
                <w:i/>
                <w:iCs/>
              </w:rPr>
            </w:pPr>
          </w:p>
        </w:tc>
        <w:tc>
          <w:tcPr>
            <w:tcW w:w="1418" w:type="dxa"/>
          </w:tcPr>
          <w:p w:rsidR="00106A2A" w:rsidRPr="00106A2A" w:rsidRDefault="00106A2A" w:rsidP="00106A2A">
            <w:pPr>
              <w:widowControl/>
              <w:rPr>
                <w:b/>
                <w:bCs/>
                <w:i/>
                <w:iCs/>
              </w:rPr>
            </w:pPr>
          </w:p>
        </w:tc>
        <w:tc>
          <w:tcPr>
            <w:tcW w:w="1134" w:type="dxa"/>
          </w:tcPr>
          <w:p w:rsidR="00106A2A" w:rsidRPr="00106A2A" w:rsidRDefault="00106A2A" w:rsidP="00106A2A">
            <w:pPr>
              <w:widowControl/>
              <w:rPr>
                <w:b/>
                <w:bCs/>
                <w:i/>
                <w:iCs/>
              </w:rPr>
            </w:pPr>
          </w:p>
        </w:tc>
      </w:tr>
      <w:tr w:rsidR="00106A2A" w:rsidRPr="00106A2A" w:rsidTr="006919B6">
        <w:trPr>
          <w:trHeight w:val="874"/>
        </w:trPr>
        <w:tc>
          <w:tcPr>
            <w:tcW w:w="1555" w:type="dxa"/>
          </w:tcPr>
          <w:p w:rsidR="00106A2A" w:rsidRPr="00106A2A" w:rsidRDefault="00106A2A" w:rsidP="00106A2A">
            <w:pPr>
              <w:widowControl/>
              <w:rPr>
                <w:b/>
                <w:bCs/>
                <w:i/>
                <w:iCs/>
              </w:rPr>
            </w:pPr>
            <w:r w:rsidRPr="00106A2A">
              <w:rPr>
                <w:b/>
                <w:i/>
              </w:rPr>
              <w:t>Временно пряко подпомагане на доходите</w:t>
            </w:r>
          </w:p>
        </w:tc>
        <w:tc>
          <w:tcPr>
            <w:tcW w:w="1559" w:type="dxa"/>
          </w:tcPr>
          <w:p w:rsidR="00106A2A" w:rsidRPr="00106A2A" w:rsidRDefault="00106A2A" w:rsidP="00106A2A">
            <w:pPr>
              <w:widowControl/>
              <w:rPr>
                <w:b/>
                <w:bCs/>
                <w:i/>
                <w:iCs/>
              </w:rPr>
            </w:pPr>
          </w:p>
        </w:tc>
        <w:tc>
          <w:tcPr>
            <w:tcW w:w="1984" w:type="dxa"/>
          </w:tcPr>
          <w:p w:rsidR="00106A2A" w:rsidRPr="00106A2A" w:rsidRDefault="00106A2A" w:rsidP="00106A2A">
            <w:pPr>
              <w:widowControl/>
              <w:rPr>
                <w:b/>
                <w:bCs/>
                <w:i/>
                <w:iCs/>
              </w:rPr>
            </w:pPr>
          </w:p>
        </w:tc>
        <w:tc>
          <w:tcPr>
            <w:tcW w:w="1701" w:type="dxa"/>
          </w:tcPr>
          <w:p w:rsidR="00106A2A" w:rsidRPr="00106A2A" w:rsidRDefault="00106A2A" w:rsidP="00106A2A">
            <w:pPr>
              <w:widowControl/>
              <w:rPr>
                <w:b/>
                <w:bCs/>
                <w:i/>
                <w:iCs/>
              </w:rPr>
            </w:pPr>
          </w:p>
        </w:tc>
        <w:tc>
          <w:tcPr>
            <w:tcW w:w="1418" w:type="dxa"/>
          </w:tcPr>
          <w:p w:rsidR="00106A2A" w:rsidRPr="00106A2A" w:rsidRDefault="00106A2A" w:rsidP="00106A2A">
            <w:pPr>
              <w:widowControl/>
              <w:rPr>
                <w:b/>
                <w:bCs/>
                <w:i/>
                <w:iCs/>
              </w:rPr>
            </w:pPr>
          </w:p>
        </w:tc>
        <w:tc>
          <w:tcPr>
            <w:tcW w:w="1134" w:type="dxa"/>
          </w:tcPr>
          <w:p w:rsidR="00106A2A" w:rsidRPr="00106A2A" w:rsidRDefault="00106A2A" w:rsidP="00106A2A">
            <w:pPr>
              <w:widowControl/>
              <w:rPr>
                <w:b/>
                <w:bCs/>
                <w:i/>
                <w:iCs/>
              </w:rPr>
            </w:pPr>
          </w:p>
        </w:tc>
      </w:tr>
      <w:tr w:rsidR="00106A2A" w:rsidRPr="00106A2A" w:rsidTr="006919B6">
        <w:trPr>
          <w:trHeight w:val="874"/>
        </w:trPr>
        <w:tc>
          <w:tcPr>
            <w:tcW w:w="1555" w:type="dxa"/>
          </w:tcPr>
          <w:p w:rsidR="00106A2A" w:rsidRPr="00106A2A" w:rsidRDefault="00106A2A" w:rsidP="00106A2A">
            <w:pPr>
              <w:widowControl/>
              <w:rPr>
                <w:b/>
                <w:bCs/>
                <w:i/>
                <w:iCs/>
              </w:rPr>
            </w:pPr>
            <w:r w:rsidRPr="00106A2A">
              <w:rPr>
                <w:b/>
                <w:i/>
              </w:rPr>
              <w:t>Техническа помощ (член 8, параграф 3)</w:t>
            </w:r>
          </w:p>
        </w:tc>
        <w:tc>
          <w:tcPr>
            <w:tcW w:w="1559" w:type="dxa"/>
          </w:tcPr>
          <w:p w:rsidR="00106A2A" w:rsidRPr="00106A2A" w:rsidRDefault="00106A2A" w:rsidP="00106A2A">
            <w:pPr>
              <w:widowControl/>
              <w:rPr>
                <w:b/>
                <w:bCs/>
                <w:i/>
                <w:iCs/>
              </w:rPr>
            </w:pPr>
          </w:p>
        </w:tc>
        <w:tc>
          <w:tcPr>
            <w:tcW w:w="1984" w:type="dxa"/>
          </w:tcPr>
          <w:p w:rsidR="00106A2A" w:rsidRPr="00106A2A" w:rsidRDefault="00106A2A" w:rsidP="00106A2A">
            <w:pPr>
              <w:widowControl/>
              <w:rPr>
                <w:b/>
                <w:bCs/>
                <w:i/>
                <w:iCs/>
              </w:rPr>
            </w:pPr>
          </w:p>
        </w:tc>
        <w:tc>
          <w:tcPr>
            <w:tcW w:w="1701" w:type="dxa"/>
          </w:tcPr>
          <w:p w:rsidR="00106A2A" w:rsidRPr="00106A2A" w:rsidRDefault="00106A2A" w:rsidP="00106A2A">
            <w:pPr>
              <w:widowControl/>
              <w:rPr>
                <w:b/>
                <w:bCs/>
                <w:i/>
                <w:iCs/>
              </w:rPr>
            </w:pPr>
          </w:p>
        </w:tc>
        <w:tc>
          <w:tcPr>
            <w:tcW w:w="1418" w:type="dxa"/>
          </w:tcPr>
          <w:p w:rsidR="00106A2A" w:rsidRPr="00106A2A" w:rsidRDefault="00106A2A" w:rsidP="00106A2A">
            <w:pPr>
              <w:widowControl/>
              <w:rPr>
                <w:b/>
                <w:bCs/>
                <w:i/>
                <w:iCs/>
              </w:rPr>
            </w:pPr>
          </w:p>
        </w:tc>
        <w:tc>
          <w:tcPr>
            <w:tcW w:w="1134" w:type="dxa"/>
          </w:tcPr>
          <w:p w:rsidR="00106A2A" w:rsidRPr="00106A2A" w:rsidRDefault="00106A2A" w:rsidP="00106A2A">
            <w:pPr>
              <w:widowControl/>
              <w:rPr>
                <w:b/>
                <w:bCs/>
                <w:i/>
                <w:iCs/>
              </w:rPr>
            </w:pPr>
          </w:p>
        </w:tc>
      </w:tr>
      <w:tr w:rsidR="00106A2A" w:rsidRPr="00106A2A" w:rsidTr="006919B6">
        <w:trPr>
          <w:trHeight w:val="874"/>
        </w:trPr>
        <w:tc>
          <w:tcPr>
            <w:tcW w:w="1555" w:type="dxa"/>
          </w:tcPr>
          <w:p w:rsidR="00106A2A" w:rsidRPr="00106A2A" w:rsidRDefault="00106A2A" w:rsidP="00106A2A">
            <w:pPr>
              <w:widowControl/>
              <w:rPr>
                <w:b/>
                <w:bCs/>
                <w:i/>
                <w:iCs/>
              </w:rPr>
            </w:pPr>
            <w:r w:rsidRPr="00106A2A">
              <w:rPr>
                <w:b/>
                <w:i/>
              </w:rPr>
              <w:t>Принос за инструмента за техническа подкрепа (член 11, параграф 3)</w:t>
            </w:r>
          </w:p>
        </w:tc>
        <w:tc>
          <w:tcPr>
            <w:tcW w:w="1559" w:type="dxa"/>
          </w:tcPr>
          <w:p w:rsidR="00106A2A" w:rsidRPr="00106A2A" w:rsidRDefault="00106A2A" w:rsidP="00106A2A">
            <w:pPr>
              <w:widowControl/>
              <w:rPr>
                <w:b/>
                <w:bCs/>
                <w:i/>
                <w:iCs/>
              </w:rPr>
            </w:pPr>
          </w:p>
        </w:tc>
        <w:tc>
          <w:tcPr>
            <w:tcW w:w="1984" w:type="dxa"/>
          </w:tcPr>
          <w:p w:rsidR="00106A2A" w:rsidRPr="00106A2A" w:rsidRDefault="00106A2A" w:rsidP="00106A2A">
            <w:pPr>
              <w:widowControl/>
              <w:rPr>
                <w:b/>
                <w:bCs/>
                <w:i/>
                <w:iCs/>
              </w:rPr>
            </w:pPr>
          </w:p>
        </w:tc>
        <w:tc>
          <w:tcPr>
            <w:tcW w:w="1701" w:type="dxa"/>
          </w:tcPr>
          <w:p w:rsidR="00106A2A" w:rsidRPr="00106A2A" w:rsidRDefault="00106A2A" w:rsidP="00106A2A">
            <w:pPr>
              <w:widowControl/>
              <w:rPr>
                <w:b/>
                <w:bCs/>
                <w:i/>
                <w:iCs/>
              </w:rPr>
            </w:pPr>
          </w:p>
        </w:tc>
        <w:tc>
          <w:tcPr>
            <w:tcW w:w="1418" w:type="dxa"/>
          </w:tcPr>
          <w:p w:rsidR="00106A2A" w:rsidRPr="00106A2A" w:rsidRDefault="00106A2A" w:rsidP="00106A2A">
            <w:pPr>
              <w:widowControl/>
              <w:rPr>
                <w:b/>
                <w:bCs/>
                <w:i/>
                <w:iCs/>
              </w:rPr>
            </w:pPr>
          </w:p>
        </w:tc>
        <w:tc>
          <w:tcPr>
            <w:tcW w:w="1134" w:type="dxa"/>
          </w:tcPr>
          <w:p w:rsidR="00106A2A" w:rsidRPr="00106A2A" w:rsidRDefault="00106A2A" w:rsidP="00106A2A">
            <w:pPr>
              <w:widowControl/>
              <w:rPr>
                <w:b/>
                <w:bCs/>
                <w:i/>
                <w:iCs/>
              </w:rPr>
            </w:pPr>
          </w:p>
        </w:tc>
      </w:tr>
      <w:tr w:rsidR="00106A2A" w:rsidRPr="00106A2A" w:rsidTr="006919B6">
        <w:trPr>
          <w:trHeight w:val="874"/>
        </w:trPr>
        <w:tc>
          <w:tcPr>
            <w:tcW w:w="1555" w:type="dxa"/>
          </w:tcPr>
          <w:p w:rsidR="00106A2A" w:rsidRPr="00106A2A" w:rsidRDefault="00106A2A" w:rsidP="00106A2A">
            <w:pPr>
              <w:widowControl/>
              <w:rPr>
                <w:b/>
                <w:bCs/>
                <w:i/>
                <w:iCs/>
              </w:rPr>
            </w:pPr>
            <w:r w:rsidRPr="00106A2A">
              <w:rPr>
                <w:b/>
                <w:i/>
              </w:rPr>
              <w:t>Принос за раздел „Държави членки“ в InvestEU (член 11, параграф 3)</w:t>
            </w:r>
          </w:p>
        </w:tc>
        <w:tc>
          <w:tcPr>
            <w:tcW w:w="1559" w:type="dxa"/>
          </w:tcPr>
          <w:p w:rsidR="00106A2A" w:rsidRPr="00106A2A" w:rsidRDefault="00106A2A" w:rsidP="00106A2A">
            <w:pPr>
              <w:widowControl/>
              <w:rPr>
                <w:b/>
                <w:bCs/>
                <w:i/>
                <w:iCs/>
              </w:rPr>
            </w:pPr>
          </w:p>
        </w:tc>
        <w:tc>
          <w:tcPr>
            <w:tcW w:w="1984" w:type="dxa"/>
          </w:tcPr>
          <w:p w:rsidR="00106A2A" w:rsidRPr="00106A2A" w:rsidRDefault="00106A2A" w:rsidP="00106A2A">
            <w:pPr>
              <w:widowControl/>
              <w:rPr>
                <w:b/>
                <w:bCs/>
                <w:i/>
                <w:iCs/>
              </w:rPr>
            </w:pPr>
          </w:p>
        </w:tc>
        <w:tc>
          <w:tcPr>
            <w:tcW w:w="1701" w:type="dxa"/>
          </w:tcPr>
          <w:p w:rsidR="00106A2A" w:rsidRPr="00106A2A" w:rsidRDefault="00106A2A" w:rsidP="00106A2A">
            <w:pPr>
              <w:widowControl/>
              <w:rPr>
                <w:b/>
                <w:bCs/>
                <w:i/>
                <w:iCs/>
              </w:rPr>
            </w:pPr>
          </w:p>
        </w:tc>
        <w:tc>
          <w:tcPr>
            <w:tcW w:w="1418" w:type="dxa"/>
          </w:tcPr>
          <w:p w:rsidR="00106A2A" w:rsidRPr="00106A2A" w:rsidRDefault="00106A2A" w:rsidP="00106A2A">
            <w:pPr>
              <w:widowControl/>
              <w:rPr>
                <w:b/>
                <w:bCs/>
                <w:i/>
                <w:iCs/>
              </w:rPr>
            </w:pPr>
          </w:p>
        </w:tc>
        <w:tc>
          <w:tcPr>
            <w:tcW w:w="1134" w:type="dxa"/>
          </w:tcPr>
          <w:p w:rsidR="00106A2A" w:rsidRPr="00106A2A" w:rsidRDefault="00106A2A" w:rsidP="00106A2A">
            <w:pPr>
              <w:widowControl/>
              <w:rPr>
                <w:b/>
                <w:bCs/>
                <w:i/>
                <w:iCs/>
              </w:rPr>
            </w:pPr>
          </w:p>
        </w:tc>
      </w:tr>
    </w:tbl>
    <w:p w:rsidR="00106A2A" w:rsidRPr="00106A2A" w:rsidRDefault="00106A2A" w:rsidP="00106A2A">
      <w:pPr>
        <w:autoSpaceDE w:val="0"/>
        <w:autoSpaceDN w:val="0"/>
        <w:jc w:val="both"/>
        <w:outlineLvl w:val="2"/>
        <w:rPr>
          <w:b/>
          <w:bCs/>
          <w:i/>
          <w:iCs/>
          <w:lang w:bidi="en-GB"/>
        </w:rPr>
      </w:pPr>
    </w:p>
    <w:p w:rsidR="00106A2A" w:rsidRPr="00106A2A" w:rsidRDefault="00106A2A" w:rsidP="00106A2A">
      <w:pPr>
        <w:keepNext/>
        <w:keepLines/>
        <w:widowControl/>
        <w:spacing w:before="240" w:after="240" w:line="360" w:lineRule="auto"/>
        <w:contextualSpacing/>
        <w:jc w:val="both"/>
        <w:outlineLvl w:val="1"/>
        <w:rPr>
          <w:b/>
          <w:bCs/>
          <w:i/>
          <w:iCs/>
          <w:u w:val="single"/>
          <w:lang w:eastAsia="en-US"/>
        </w:rPr>
      </w:pPr>
      <w:bookmarkStart w:id="5" w:name="_Toc128649675"/>
      <w:r w:rsidRPr="00106A2A">
        <w:rPr>
          <w:rFonts w:eastAsia="Calibri"/>
          <w:b/>
          <w:i/>
          <w:u w:val="single"/>
          <w:lang w:eastAsia="en-US"/>
        </w:rPr>
        <w:t>1.2. Преглед на настоящата ситуация в областта на политиките</w:t>
      </w:r>
      <w:bookmarkEnd w:id="5"/>
    </w:p>
    <w:p w:rsidR="00106A2A" w:rsidRPr="00106A2A" w:rsidRDefault="00106A2A" w:rsidP="00106A2A">
      <w:pPr>
        <w:widowControl/>
        <w:spacing w:before="100" w:beforeAutospacing="1" w:after="100" w:afterAutospacing="1" w:line="360" w:lineRule="auto"/>
        <w:rPr>
          <w:rFonts w:eastAsia="Calibri"/>
          <w:b/>
          <w:bCs/>
          <w:i/>
          <w:iCs/>
          <w:lang w:eastAsia="en-US"/>
        </w:rPr>
      </w:pPr>
      <w:r w:rsidRPr="00106A2A">
        <w:rPr>
          <w:rFonts w:eastAsia="Calibri"/>
          <w:b/>
          <w:i/>
          <w:lang w:eastAsia="en-US"/>
        </w:rPr>
        <w:t>Информация за настоящите национални политики в областта на енергетиката и климата и как те се прилагат в национален контекст, със специален акцент върху секторите на сградите и автомобилния транспорт и върху най-уязвимите групи.</w:t>
      </w:r>
    </w:p>
    <w:p w:rsidR="00106A2A" w:rsidRPr="00106A2A" w:rsidRDefault="00106A2A" w:rsidP="00106A2A">
      <w:pPr>
        <w:keepNext/>
        <w:keepLines/>
        <w:widowControl/>
        <w:spacing w:before="240" w:after="240" w:line="360" w:lineRule="auto"/>
        <w:contextualSpacing/>
        <w:jc w:val="both"/>
        <w:outlineLvl w:val="1"/>
        <w:rPr>
          <w:b/>
          <w:bCs/>
          <w:i/>
          <w:iCs/>
          <w:u w:val="single"/>
          <w:lang w:eastAsia="en-US"/>
        </w:rPr>
      </w:pPr>
      <w:r w:rsidRPr="00106A2A">
        <w:rPr>
          <w:rFonts w:eastAsia="Calibri"/>
          <w:b/>
          <w:i/>
          <w:u w:val="single"/>
          <w:lang w:eastAsia="en-US"/>
        </w:rPr>
        <w:t>1.3. Процес на обществените консултации</w:t>
      </w:r>
    </w:p>
    <w:p w:rsidR="00106A2A" w:rsidRPr="00106A2A" w:rsidRDefault="00106A2A" w:rsidP="00106A2A">
      <w:pPr>
        <w:widowControl/>
        <w:spacing w:before="120" w:after="120" w:line="360" w:lineRule="auto"/>
        <w:rPr>
          <w:rFonts w:eastAsia="Calibri"/>
          <w:b/>
          <w:bCs/>
          <w:i/>
          <w:iCs/>
          <w:lang w:eastAsia="en-US"/>
        </w:rPr>
      </w:pPr>
      <w:r w:rsidRPr="00106A2A">
        <w:rPr>
          <w:rFonts w:eastAsia="Calibri"/>
          <w:b/>
          <w:i/>
          <w:lang w:eastAsia="en-US"/>
        </w:rPr>
        <w:t>Обобщение на процеса на консултации с местните и регионалните органи, социалните партньори, организациите на гражданското общество, младежките организации и други заинтересовани страни, осъществяван в съответствие с националната правна рамка, при подготовката и, когато е възможно, изпълнението на плана, като се включват обхватът, видът и графикът на дейностите в рамките на консултациите, както и описание на начина, по който мненията на заинтересованите страни са отразени в плана.</w:t>
      </w:r>
    </w:p>
    <w:p w:rsidR="00106A2A" w:rsidRPr="00106A2A" w:rsidRDefault="00106A2A" w:rsidP="00106A2A">
      <w:pPr>
        <w:widowControl/>
        <w:spacing w:before="120" w:after="160" w:line="259" w:lineRule="auto"/>
        <w:rPr>
          <w:rFonts w:eastAsia="Calibri"/>
          <w:b/>
          <w:bCs/>
          <w:i/>
          <w:iCs/>
          <w:u w:val="single"/>
          <w:lang w:eastAsia="en-US"/>
        </w:rPr>
      </w:pPr>
      <w:r w:rsidRPr="00106A2A">
        <w:rPr>
          <w:rFonts w:eastAsia="Calibri"/>
          <w:lang w:eastAsia="en-US"/>
        </w:rPr>
        <w:br w:type="page"/>
      </w:r>
    </w:p>
    <w:p w:rsidR="00106A2A" w:rsidRPr="00106A2A" w:rsidRDefault="00106A2A" w:rsidP="00106A2A">
      <w:pPr>
        <w:keepNext/>
        <w:keepLines/>
        <w:widowControl/>
        <w:spacing w:before="360" w:after="160" w:line="259" w:lineRule="auto"/>
        <w:ind w:left="357" w:hanging="357"/>
        <w:jc w:val="both"/>
        <w:outlineLvl w:val="0"/>
        <w:rPr>
          <w:b/>
          <w:bCs/>
          <w:i/>
          <w:iCs/>
          <w:lang w:eastAsia="en-US"/>
        </w:rPr>
      </w:pPr>
      <w:bookmarkStart w:id="6" w:name="_Toc128649676"/>
      <w:r w:rsidRPr="00106A2A">
        <w:rPr>
          <w:b/>
          <w:bCs/>
          <w:i/>
          <w:iCs/>
          <w:lang w:eastAsia="en-US"/>
        </w:rPr>
        <w:t>2.</w:t>
      </w:r>
      <w:r w:rsidRPr="00106A2A">
        <w:rPr>
          <w:b/>
          <w:bCs/>
          <w:i/>
          <w:iCs/>
          <w:lang w:eastAsia="en-US"/>
        </w:rPr>
        <w:tab/>
      </w:r>
      <w:r w:rsidRPr="00106A2A">
        <w:rPr>
          <w:rFonts w:eastAsia="Calibri"/>
          <w:b/>
          <w:i/>
          <w:lang w:eastAsia="en-US"/>
        </w:rPr>
        <w:t>ОПИСАНИЕ НА МЕРКИТЕ И ИНВЕСТИЦИИТЕ, МЕЖДИННИТЕ ЦЕЛИ И ЦЕЛЕВИТЕ</w:t>
      </w:r>
      <w:bookmarkEnd w:id="6"/>
      <w:r w:rsidRPr="00106A2A">
        <w:rPr>
          <w:rFonts w:eastAsia="Calibri"/>
          <w:b/>
          <w:i/>
          <w:lang w:eastAsia="en-US"/>
        </w:rPr>
        <w:t xml:space="preserve"> СТОЙНОСТИ</w:t>
      </w:r>
    </w:p>
    <w:p w:rsidR="00106A2A" w:rsidRPr="00106A2A" w:rsidRDefault="00106A2A" w:rsidP="00106A2A">
      <w:pPr>
        <w:autoSpaceDE w:val="0"/>
        <w:autoSpaceDN w:val="0"/>
        <w:spacing w:before="23" w:line="336" w:lineRule="auto"/>
        <w:rPr>
          <w:b/>
          <w:bCs/>
          <w:i/>
          <w:iCs/>
          <w:lang w:eastAsia="en-US"/>
        </w:rPr>
      </w:pPr>
      <w:r w:rsidRPr="00106A2A">
        <w:rPr>
          <w:rFonts w:eastAsia="Calibri"/>
          <w:b/>
          <w:i/>
          <w:lang w:eastAsia="en-US"/>
        </w:rPr>
        <w:t>Информация относно всеки компонент за трите области на плана поотделно:</w:t>
      </w:r>
    </w:p>
    <w:p w:rsidR="00106A2A" w:rsidRPr="00106A2A" w:rsidRDefault="00106A2A" w:rsidP="00106A2A">
      <w:pPr>
        <w:autoSpaceDE w:val="0"/>
        <w:autoSpaceDN w:val="0"/>
        <w:spacing w:before="23" w:line="336" w:lineRule="auto"/>
        <w:ind w:left="567" w:hanging="567"/>
        <w:contextualSpacing/>
        <w:jc w:val="both"/>
        <w:rPr>
          <w:b/>
          <w:bCs/>
          <w:i/>
          <w:iCs/>
          <w:lang w:eastAsia="en-US"/>
        </w:rPr>
      </w:pPr>
      <w:r w:rsidRPr="00106A2A">
        <w:rPr>
          <w:bCs/>
          <w:iCs/>
          <w:lang w:eastAsia="en-US"/>
        </w:rPr>
        <w:t></w:t>
      </w:r>
      <w:r w:rsidRPr="00106A2A">
        <w:rPr>
          <w:bCs/>
          <w:iCs/>
          <w:lang w:eastAsia="en-US"/>
        </w:rPr>
        <w:tab/>
      </w:r>
      <w:r w:rsidRPr="00106A2A">
        <w:rPr>
          <w:rFonts w:eastAsia="Calibri"/>
          <w:b/>
          <w:i/>
          <w:lang w:eastAsia="en-US"/>
        </w:rPr>
        <w:t>сектор „Сгради“;</w:t>
      </w:r>
    </w:p>
    <w:p w:rsidR="00106A2A" w:rsidRPr="00106A2A" w:rsidRDefault="00106A2A" w:rsidP="00106A2A">
      <w:pPr>
        <w:autoSpaceDE w:val="0"/>
        <w:autoSpaceDN w:val="0"/>
        <w:spacing w:before="23" w:line="336" w:lineRule="auto"/>
        <w:ind w:left="567" w:hanging="567"/>
        <w:contextualSpacing/>
        <w:jc w:val="both"/>
        <w:rPr>
          <w:b/>
          <w:bCs/>
          <w:i/>
          <w:iCs/>
          <w:lang w:eastAsia="en-US"/>
        </w:rPr>
      </w:pPr>
      <w:r w:rsidRPr="00106A2A">
        <w:rPr>
          <w:bCs/>
          <w:iCs/>
          <w:lang w:eastAsia="en-US"/>
        </w:rPr>
        <w:t></w:t>
      </w:r>
      <w:r w:rsidRPr="00106A2A">
        <w:rPr>
          <w:bCs/>
          <w:iCs/>
          <w:lang w:eastAsia="en-US"/>
        </w:rPr>
        <w:tab/>
      </w:r>
      <w:r w:rsidRPr="00106A2A">
        <w:rPr>
          <w:rFonts w:eastAsia="Calibri"/>
          <w:b/>
          <w:i/>
          <w:lang w:eastAsia="en-US"/>
        </w:rPr>
        <w:t>сектор на автомобилния транспорт;</w:t>
      </w:r>
    </w:p>
    <w:p w:rsidR="00106A2A" w:rsidRPr="00106A2A" w:rsidDel="0073790C" w:rsidRDefault="00106A2A" w:rsidP="00106A2A">
      <w:pPr>
        <w:autoSpaceDE w:val="0"/>
        <w:autoSpaceDN w:val="0"/>
        <w:spacing w:before="23" w:line="336" w:lineRule="auto"/>
        <w:ind w:left="567" w:hanging="567"/>
        <w:contextualSpacing/>
        <w:jc w:val="both"/>
        <w:rPr>
          <w:b/>
          <w:bCs/>
          <w:i/>
          <w:iCs/>
          <w:lang w:eastAsia="en-US"/>
        </w:rPr>
      </w:pPr>
      <w:r w:rsidRPr="00106A2A" w:rsidDel="0073790C">
        <w:rPr>
          <w:bCs/>
          <w:iCs/>
          <w:lang w:eastAsia="en-US"/>
        </w:rPr>
        <w:t></w:t>
      </w:r>
      <w:r w:rsidRPr="00106A2A" w:rsidDel="0073790C">
        <w:rPr>
          <w:bCs/>
          <w:iCs/>
          <w:lang w:eastAsia="en-US"/>
        </w:rPr>
        <w:tab/>
      </w:r>
      <w:r w:rsidRPr="00106A2A">
        <w:rPr>
          <w:rFonts w:eastAsia="Calibri"/>
          <w:b/>
          <w:i/>
          <w:lang w:eastAsia="en-US"/>
        </w:rPr>
        <w:t>временно пряко подпомагане на доходите.</w:t>
      </w:r>
    </w:p>
    <w:p w:rsidR="00106A2A" w:rsidRPr="00106A2A" w:rsidRDefault="00106A2A" w:rsidP="00106A2A">
      <w:pPr>
        <w:autoSpaceDE w:val="0"/>
        <w:autoSpaceDN w:val="0"/>
        <w:spacing w:before="165" w:line="336" w:lineRule="auto"/>
        <w:rPr>
          <w:b/>
          <w:bCs/>
          <w:i/>
          <w:iCs/>
          <w:lang w:eastAsia="en-US"/>
        </w:rPr>
      </w:pPr>
      <w:r w:rsidRPr="00106A2A">
        <w:rPr>
          <w:rFonts w:eastAsia="Calibri"/>
          <w:b/>
          <w:i/>
          <w:lang w:eastAsia="en-US"/>
        </w:rPr>
        <w:t>Компонентът може да включва няколко подкомпонента, насочени към конкретно предизвикателство или нужда. Всеки компонент или подкомпонент може да включва една или няколко тясно свързани или взаимозависими мерки или инвестиции.</w:t>
      </w:r>
    </w:p>
    <w:p w:rsidR="00106A2A" w:rsidRPr="00106A2A" w:rsidRDefault="00106A2A" w:rsidP="00106A2A">
      <w:pPr>
        <w:keepNext/>
        <w:keepLines/>
        <w:widowControl/>
        <w:spacing w:before="240" w:after="240" w:line="259" w:lineRule="auto"/>
        <w:jc w:val="both"/>
        <w:outlineLvl w:val="1"/>
        <w:rPr>
          <w:b/>
          <w:bCs/>
          <w:i/>
          <w:iCs/>
          <w:u w:val="single"/>
          <w:lang w:eastAsia="en-US"/>
        </w:rPr>
      </w:pPr>
      <w:bookmarkStart w:id="7" w:name="_Toc128649677"/>
      <w:r w:rsidRPr="00106A2A">
        <w:rPr>
          <w:rFonts w:eastAsia="Calibri"/>
          <w:b/>
          <w:i/>
          <w:lang w:eastAsia="en-US"/>
        </w:rPr>
        <w:t xml:space="preserve">2.1. </w:t>
      </w:r>
      <w:r w:rsidRPr="00106A2A">
        <w:rPr>
          <w:rFonts w:eastAsia="Calibri"/>
          <w:b/>
          <w:i/>
          <w:u w:val="single"/>
          <w:lang w:eastAsia="en-US"/>
        </w:rPr>
        <w:t>КОМПОНЕНТ [1][2]: [сектор „Сгради“] [транспортен сектор]</w:t>
      </w:r>
      <w:bookmarkEnd w:id="7"/>
    </w:p>
    <w:p w:rsidR="00106A2A" w:rsidRPr="00106A2A" w:rsidRDefault="00106A2A" w:rsidP="00106A2A">
      <w:pPr>
        <w:autoSpaceDE w:val="0"/>
        <w:autoSpaceDN w:val="0"/>
        <w:spacing w:before="8" w:line="360" w:lineRule="auto"/>
        <w:jc w:val="both"/>
        <w:rPr>
          <w:b/>
          <w:bCs/>
          <w:i/>
          <w:iCs/>
          <w:lang w:eastAsia="en-US"/>
        </w:rPr>
      </w:pPr>
      <w:r w:rsidRPr="00106A2A">
        <w:rPr>
          <w:rFonts w:eastAsia="Calibri"/>
          <w:b/>
          <w:i/>
          <w:lang w:eastAsia="en-US"/>
        </w:rPr>
        <w:t>Информация за компонента:</w:t>
      </w:r>
    </w:p>
    <w:p w:rsidR="00106A2A" w:rsidRPr="00106A2A" w:rsidRDefault="00106A2A" w:rsidP="00106A2A">
      <w:pPr>
        <w:keepNext/>
        <w:keepLines/>
        <w:widowControl/>
        <w:spacing w:before="120" w:after="160" w:line="360" w:lineRule="auto"/>
        <w:ind w:left="720" w:hanging="11"/>
        <w:jc w:val="both"/>
        <w:outlineLvl w:val="2"/>
        <w:rPr>
          <w:b/>
          <w:bCs/>
          <w:i/>
          <w:iCs/>
          <w:u w:val="single"/>
          <w:lang w:eastAsia="en-US"/>
        </w:rPr>
      </w:pPr>
      <w:bookmarkStart w:id="8" w:name="_Toc128649678"/>
      <w:r w:rsidRPr="00106A2A">
        <w:rPr>
          <w:b/>
          <w:bCs/>
          <w:i/>
          <w:iCs/>
          <w:lang w:eastAsia="en-US"/>
        </w:rPr>
        <w:t>(i)</w:t>
      </w:r>
      <w:r w:rsidRPr="00106A2A">
        <w:rPr>
          <w:b/>
          <w:bCs/>
          <w:i/>
          <w:iCs/>
          <w:lang w:eastAsia="en-US"/>
        </w:rPr>
        <w:tab/>
      </w:r>
      <w:r w:rsidRPr="00106A2A">
        <w:rPr>
          <w:rFonts w:eastAsia="Calibri"/>
          <w:b/>
          <w:i/>
          <w:u w:val="single"/>
          <w:lang w:eastAsia="en-US"/>
        </w:rPr>
        <w:t>Описание на компонента</w:t>
      </w:r>
      <w:bookmarkEnd w:id="8"/>
    </w:p>
    <w:p w:rsidR="00106A2A" w:rsidRPr="00106A2A" w:rsidRDefault="00106A2A" w:rsidP="00106A2A">
      <w:pPr>
        <w:autoSpaceDE w:val="0"/>
        <w:autoSpaceDN w:val="0"/>
        <w:spacing w:before="240" w:after="240"/>
        <w:jc w:val="both"/>
        <w:rPr>
          <w:b/>
          <w:bCs/>
          <w:i/>
          <w:iCs/>
          <w:lang w:eastAsia="en-US"/>
        </w:rPr>
      </w:pPr>
      <w:r w:rsidRPr="00106A2A">
        <w:rPr>
          <w:rFonts w:eastAsia="Calibri"/>
          <w:b/>
          <w:i/>
          <w:lang w:eastAsia="en-US"/>
        </w:rPr>
        <w:t>Поле за резюме:</w:t>
      </w:r>
    </w:p>
    <w:tbl>
      <w:tblPr>
        <w:tblStyle w:val="TableGrid1"/>
        <w:tblW w:w="0" w:type="auto"/>
        <w:tblLook w:val="04A0" w:firstRow="1" w:lastRow="0" w:firstColumn="1" w:lastColumn="0" w:noHBand="0" w:noVBand="1"/>
      </w:tblPr>
      <w:tblGrid>
        <w:gridCol w:w="9060"/>
      </w:tblGrid>
      <w:tr w:rsidR="00106A2A" w:rsidRPr="00106A2A" w:rsidTr="006919B6">
        <w:tc>
          <w:tcPr>
            <w:tcW w:w="9576" w:type="dxa"/>
          </w:tcPr>
          <w:p w:rsidR="00106A2A" w:rsidRPr="00106A2A" w:rsidRDefault="00106A2A" w:rsidP="00106A2A">
            <w:pPr>
              <w:widowControl/>
              <w:spacing w:before="240" w:after="120"/>
              <w:ind w:left="567"/>
              <w:jc w:val="both"/>
              <w:rPr>
                <w:b/>
                <w:bCs/>
                <w:i/>
                <w:iCs/>
              </w:rPr>
            </w:pPr>
            <w:r w:rsidRPr="00106A2A">
              <w:rPr>
                <w:b/>
                <w:i/>
                <w:u w:val="thick"/>
              </w:rPr>
              <w:t>Поле за резюме за компонент [1] [2] [сектор „Сгради“] [транспортен сектор]</w:t>
            </w:r>
          </w:p>
          <w:p w:rsidR="00106A2A" w:rsidRPr="00106A2A" w:rsidRDefault="00106A2A" w:rsidP="00106A2A">
            <w:pPr>
              <w:widowControl/>
              <w:spacing w:before="100" w:after="120"/>
              <w:ind w:left="567"/>
              <w:jc w:val="both"/>
              <w:rPr>
                <w:b/>
                <w:bCs/>
                <w:i/>
                <w:iCs/>
              </w:rPr>
            </w:pPr>
            <w:r w:rsidRPr="00106A2A">
              <w:rPr>
                <w:b/>
                <w:i/>
              </w:rPr>
              <w:t>Област на интервенция: [сектор „Сгради“] [транспортен сектор]</w:t>
            </w:r>
          </w:p>
          <w:p w:rsidR="00106A2A" w:rsidRPr="00106A2A" w:rsidRDefault="00106A2A" w:rsidP="00106A2A">
            <w:pPr>
              <w:widowControl/>
              <w:spacing w:before="100" w:after="120"/>
              <w:ind w:left="567"/>
              <w:jc w:val="both"/>
              <w:rPr>
                <w:b/>
                <w:bCs/>
                <w:i/>
                <w:iCs/>
              </w:rPr>
            </w:pPr>
            <w:r w:rsidRPr="00106A2A">
              <w:rPr>
                <w:b/>
                <w:i/>
              </w:rPr>
              <w:t>Цел:</w:t>
            </w:r>
          </w:p>
          <w:p w:rsidR="00106A2A" w:rsidRPr="00106A2A" w:rsidRDefault="00106A2A" w:rsidP="00106A2A">
            <w:pPr>
              <w:widowControl/>
              <w:spacing w:before="100" w:after="120"/>
              <w:ind w:left="567"/>
              <w:jc w:val="both"/>
              <w:rPr>
                <w:b/>
                <w:bCs/>
                <w:i/>
                <w:iCs/>
              </w:rPr>
            </w:pPr>
            <w:r w:rsidRPr="00106A2A">
              <w:rPr>
                <w:b/>
                <w:i/>
              </w:rPr>
              <w:t>Мерки и инвестиции:</w:t>
            </w:r>
          </w:p>
          <w:p w:rsidR="00106A2A" w:rsidRPr="00106A2A" w:rsidRDefault="00106A2A" w:rsidP="00106A2A">
            <w:pPr>
              <w:widowControl/>
              <w:spacing w:before="100" w:after="120"/>
              <w:ind w:left="567"/>
              <w:jc w:val="both"/>
              <w:rPr>
                <w:b/>
                <w:bCs/>
                <w:i/>
                <w:iCs/>
              </w:rPr>
            </w:pPr>
            <w:r w:rsidRPr="00106A2A">
              <w:rPr>
                <w:b/>
                <w:i/>
              </w:rPr>
              <w:t>Прогнозни общи разходи: xx EUR, от които</w:t>
            </w:r>
          </w:p>
          <w:p w:rsidR="00106A2A" w:rsidRPr="00106A2A" w:rsidRDefault="00106A2A" w:rsidP="00106A2A">
            <w:pPr>
              <w:widowControl/>
              <w:spacing w:before="100" w:after="120"/>
              <w:ind w:left="567"/>
              <w:jc w:val="both"/>
              <w:rPr>
                <w:b/>
                <w:bCs/>
                <w:i/>
                <w:iCs/>
              </w:rPr>
            </w:pPr>
            <w:r w:rsidRPr="00106A2A">
              <w:rPr>
                <w:b/>
                <w:i/>
              </w:rPr>
              <w:t>Разходи, които се иска да бъдат покрити от Фонда: XX EUR</w:t>
            </w:r>
          </w:p>
          <w:p w:rsidR="00106A2A" w:rsidRPr="00106A2A" w:rsidRDefault="00106A2A" w:rsidP="00106A2A">
            <w:pPr>
              <w:widowControl/>
              <w:spacing w:before="100" w:after="120"/>
              <w:ind w:left="567"/>
              <w:jc w:val="both"/>
              <w:rPr>
                <w:b/>
                <w:bCs/>
                <w:i/>
                <w:iCs/>
              </w:rPr>
            </w:pPr>
            <w:r w:rsidRPr="00106A2A">
              <w:rPr>
                <w:b/>
                <w:i/>
              </w:rPr>
              <w:t>Разходи, които трябва да бъдат покрити от националния принос: XX EUR</w:t>
            </w:r>
          </w:p>
          <w:p w:rsidR="00106A2A" w:rsidRPr="00106A2A" w:rsidRDefault="00106A2A" w:rsidP="00106A2A">
            <w:pPr>
              <w:widowControl/>
              <w:spacing w:before="185" w:after="120"/>
              <w:ind w:left="567"/>
              <w:jc w:val="both"/>
              <w:rPr>
                <w:b/>
                <w:bCs/>
                <w:i/>
                <w:iCs/>
              </w:rPr>
            </w:pPr>
          </w:p>
        </w:tc>
      </w:tr>
    </w:tbl>
    <w:p w:rsidR="00106A2A" w:rsidRPr="00106A2A" w:rsidRDefault="00106A2A" w:rsidP="00106A2A">
      <w:pPr>
        <w:keepNext/>
        <w:keepLines/>
        <w:widowControl/>
        <w:spacing w:before="240" w:after="160" w:line="259" w:lineRule="auto"/>
        <w:ind w:left="720" w:hanging="11"/>
        <w:jc w:val="both"/>
        <w:outlineLvl w:val="2"/>
        <w:rPr>
          <w:b/>
          <w:bCs/>
          <w:i/>
          <w:iCs/>
          <w:u w:val="single"/>
          <w:lang w:eastAsia="en-US"/>
        </w:rPr>
      </w:pPr>
      <w:bookmarkStart w:id="9" w:name="_Toc128649679"/>
      <w:r w:rsidRPr="00106A2A">
        <w:rPr>
          <w:b/>
          <w:bCs/>
          <w:i/>
          <w:iCs/>
          <w:lang w:eastAsia="en-US"/>
        </w:rPr>
        <w:t>(ii)</w:t>
      </w:r>
      <w:r w:rsidRPr="00106A2A">
        <w:rPr>
          <w:b/>
          <w:bCs/>
          <w:i/>
          <w:iCs/>
          <w:lang w:eastAsia="en-US"/>
        </w:rPr>
        <w:tab/>
      </w:r>
      <w:r w:rsidRPr="00106A2A">
        <w:rPr>
          <w:rFonts w:eastAsia="Calibri"/>
          <w:b/>
          <w:i/>
          <w:u w:val="single"/>
          <w:lang w:eastAsia="en-US"/>
        </w:rPr>
        <w:t>Описание на мерките и инвестициите по компонента</w:t>
      </w:r>
      <w:bookmarkEnd w:id="9"/>
    </w:p>
    <w:p w:rsidR="00106A2A" w:rsidRPr="00106A2A" w:rsidRDefault="00106A2A" w:rsidP="00106A2A">
      <w:pPr>
        <w:autoSpaceDE w:val="0"/>
        <w:autoSpaceDN w:val="0"/>
        <w:spacing w:before="180" w:line="312" w:lineRule="auto"/>
        <w:rPr>
          <w:b/>
          <w:bCs/>
          <w:i/>
          <w:iCs/>
          <w:lang w:eastAsia="en-US"/>
        </w:rPr>
      </w:pPr>
      <w:r w:rsidRPr="00106A2A">
        <w:rPr>
          <w:rFonts w:eastAsia="Calibri"/>
          <w:b/>
          <w:i/>
          <w:lang w:eastAsia="en-US"/>
        </w:rPr>
        <w:t>Подробно описание на компонента и свързаните с него специфични мерки и инвестиции, както и техните взаимовръзки и полезни взаимодействия, като са обхванати следните елементи:</w:t>
      </w:r>
    </w:p>
    <w:p w:rsidR="00106A2A" w:rsidRPr="00106A2A" w:rsidRDefault="00106A2A" w:rsidP="00106A2A">
      <w:pPr>
        <w:tabs>
          <w:tab w:val="left" w:pos="1276"/>
        </w:tabs>
        <w:autoSpaceDE w:val="0"/>
        <w:autoSpaceDN w:val="0"/>
        <w:spacing w:before="182" w:line="312" w:lineRule="auto"/>
        <w:ind w:left="1276" w:hanging="438"/>
        <w:jc w:val="both"/>
        <w:rPr>
          <w:rFonts w:eastAsia="Calibri"/>
          <w:b/>
          <w:bCs/>
          <w:i/>
          <w:iCs/>
          <w:lang w:eastAsia="en-US"/>
        </w:rPr>
      </w:pPr>
      <w:r w:rsidRPr="00106A2A">
        <w:rPr>
          <w:rFonts w:eastAsia="Symbol"/>
          <w:bCs/>
          <w:iCs/>
          <w:lang w:bidi="en-GB"/>
        </w:rPr>
        <w:t></w:t>
      </w:r>
      <w:r w:rsidRPr="00106A2A">
        <w:rPr>
          <w:rFonts w:eastAsia="Symbol"/>
          <w:bCs/>
          <w:iCs/>
          <w:lang w:bidi="en-GB"/>
        </w:rPr>
        <w:tab/>
      </w:r>
      <w:r w:rsidRPr="00106A2A">
        <w:rPr>
          <w:rFonts w:eastAsia="Calibri"/>
          <w:b/>
          <w:i/>
          <w:lang w:eastAsia="en-US"/>
        </w:rPr>
        <w:t>Ясен и основан на доказателства анализ на съществуващите предизвикателства и начина, по който те се преодоляват чрез мерките и инвестициите;</w:t>
      </w:r>
    </w:p>
    <w:p w:rsidR="00106A2A" w:rsidRPr="00106A2A" w:rsidRDefault="00106A2A" w:rsidP="00106A2A">
      <w:pPr>
        <w:tabs>
          <w:tab w:val="left" w:pos="1276"/>
        </w:tabs>
        <w:autoSpaceDE w:val="0"/>
        <w:autoSpaceDN w:val="0"/>
        <w:spacing w:before="163" w:line="312" w:lineRule="auto"/>
        <w:ind w:left="1276" w:hanging="438"/>
        <w:jc w:val="both"/>
        <w:rPr>
          <w:rFonts w:eastAsia="Calibri"/>
          <w:b/>
          <w:bCs/>
          <w:i/>
          <w:iCs/>
          <w:lang w:eastAsia="en-US"/>
        </w:rPr>
      </w:pPr>
      <w:r w:rsidRPr="00106A2A">
        <w:rPr>
          <w:rFonts w:eastAsia="Symbol"/>
          <w:bCs/>
          <w:iCs/>
          <w:lang w:bidi="en-GB"/>
        </w:rPr>
        <w:t></w:t>
      </w:r>
      <w:r w:rsidRPr="00106A2A">
        <w:rPr>
          <w:rFonts w:eastAsia="Symbol"/>
          <w:bCs/>
          <w:iCs/>
          <w:lang w:bidi="en-GB"/>
        </w:rPr>
        <w:tab/>
      </w:r>
      <w:r w:rsidRPr="00106A2A">
        <w:rPr>
          <w:rFonts w:eastAsia="Calibri"/>
          <w:b/>
          <w:i/>
          <w:lang w:eastAsia="en-US"/>
        </w:rPr>
        <w:t>Естеството, вида и размера на мярката или инвестицията, които могат да включват допълнителни мерки за техническа подкрепа в съответствие с член 11, параграф 4, като се посочва дали става въпрос за нова или е съществуваща мярка или инвестиция, предназначена да бъде разширена с подкрепата от Фонда;</w:t>
      </w:r>
    </w:p>
    <w:p w:rsidR="00106A2A" w:rsidRPr="00106A2A" w:rsidRDefault="00106A2A" w:rsidP="00106A2A">
      <w:pPr>
        <w:tabs>
          <w:tab w:val="left" w:pos="1276"/>
        </w:tabs>
        <w:autoSpaceDE w:val="0"/>
        <w:autoSpaceDN w:val="0"/>
        <w:spacing w:before="163" w:line="312" w:lineRule="auto"/>
        <w:ind w:left="1276" w:hanging="438"/>
        <w:jc w:val="both"/>
        <w:rPr>
          <w:rFonts w:eastAsia="Calibri"/>
          <w:b/>
          <w:bCs/>
          <w:i/>
          <w:iCs/>
          <w:lang w:eastAsia="en-US"/>
        </w:rPr>
      </w:pPr>
      <w:r w:rsidRPr="00106A2A">
        <w:rPr>
          <w:rFonts w:eastAsia="Symbol"/>
          <w:bCs/>
          <w:iCs/>
          <w:lang w:bidi="en-GB"/>
        </w:rPr>
        <w:t></w:t>
      </w:r>
      <w:r w:rsidRPr="00106A2A">
        <w:rPr>
          <w:rFonts w:eastAsia="Symbol"/>
          <w:bCs/>
          <w:iCs/>
          <w:lang w:bidi="en-GB"/>
        </w:rPr>
        <w:tab/>
      </w:r>
      <w:r w:rsidRPr="00106A2A">
        <w:rPr>
          <w:rFonts w:eastAsia="Calibri"/>
          <w:b/>
          <w:i/>
          <w:lang w:eastAsia="en-US"/>
        </w:rPr>
        <w:t>Подробна информация за целта на мярката или инвестицията и за това към кого и какво е насочена; обяснение на начина, по който мярката и инвестицията биха допринесли ефективно за постигането на целите на Фонда в рамките на цялостното определяне на съответните политики на дадена държава членка, и как ще намалят зависимостта от изкопаеми горива;</w:t>
      </w:r>
    </w:p>
    <w:p w:rsidR="00106A2A" w:rsidRPr="00106A2A" w:rsidRDefault="00106A2A" w:rsidP="00106A2A">
      <w:pPr>
        <w:tabs>
          <w:tab w:val="left" w:pos="1276"/>
        </w:tabs>
        <w:autoSpaceDE w:val="0"/>
        <w:autoSpaceDN w:val="0"/>
        <w:spacing w:before="168" w:line="312" w:lineRule="auto"/>
        <w:ind w:left="1276" w:hanging="438"/>
        <w:jc w:val="both"/>
        <w:rPr>
          <w:rFonts w:eastAsia="Calibri"/>
          <w:b/>
          <w:bCs/>
          <w:i/>
          <w:iCs/>
          <w:lang w:eastAsia="en-US"/>
        </w:rPr>
      </w:pPr>
      <w:r w:rsidRPr="00106A2A">
        <w:rPr>
          <w:rFonts w:eastAsia="Symbol"/>
          <w:bCs/>
          <w:iCs/>
          <w:lang w:bidi="en-GB"/>
        </w:rPr>
        <w:t></w:t>
      </w:r>
      <w:r w:rsidRPr="00106A2A">
        <w:rPr>
          <w:rFonts w:eastAsia="Symbol"/>
          <w:bCs/>
          <w:iCs/>
          <w:lang w:bidi="en-GB"/>
        </w:rPr>
        <w:tab/>
      </w:r>
      <w:r w:rsidRPr="00106A2A">
        <w:rPr>
          <w:rFonts w:eastAsia="Calibri"/>
          <w:b/>
          <w:i/>
          <w:lang w:eastAsia="en-US"/>
        </w:rPr>
        <w:t>Описание на начина, по който се изпълнява мярката или инвестицията (средства за изпълнение), като се държи сметка за административния капацитет на държавата членка на централно и, когато е приложимо, регионално и местно равнище, с обяснение как ресурсите ще бъдат усвоени своевременно и как се насочват към поднационални равнища, ако е приложимо;</w:t>
      </w:r>
    </w:p>
    <w:p w:rsidR="00106A2A" w:rsidRPr="00106A2A" w:rsidRDefault="00106A2A" w:rsidP="00106A2A">
      <w:pPr>
        <w:tabs>
          <w:tab w:val="left" w:pos="1276"/>
        </w:tabs>
        <w:autoSpaceDE w:val="0"/>
        <w:autoSpaceDN w:val="0"/>
        <w:spacing w:before="168" w:line="312" w:lineRule="auto"/>
        <w:ind w:left="1276" w:hanging="438"/>
        <w:jc w:val="both"/>
        <w:rPr>
          <w:rFonts w:eastAsia="Calibri"/>
          <w:b/>
          <w:bCs/>
          <w:i/>
          <w:iCs/>
          <w:lang w:eastAsia="en-US"/>
        </w:rPr>
      </w:pPr>
      <w:r w:rsidRPr="00106A2A">
        <w:rPr>
          <w:rFonts w:eastAsia="Symbol"/>
          <w:bCs/>
          <w:iCs/>
          <w:lang w:bidi="en-GB"/>
        </w:rPr>
        <w:t></w:t>
      </w:r>
      <w:r w:rsidRPr="00106A2A">
        <w:rPr>
          <w:rFonts w:eastAsia="Symbol"/>
          <w:bCs/>
          <w:iCs/>
          <w:lang w:bidi="en-GB"/>
        </w:rPr>
        <w:tab/>
      </w:r>
      <w:r w:rsidRPr="00106A2A">
        <w:rPr>
          <w:rFonts w:eastAsia="Calibri"/>
          <w:b/>
          <w:i/>
          <w:lang w:eastAsia="en-US"/>
        </w:rPr>
        <w:t>Обяснение на начина, по който мярката или инвестицията ще бъдат насочени към преодоляването на неравенството между половете, ако е приложимо;</w:t>
      </w:r>
    </w:p>
    <w:p w:rsidR="00106A2A" w:rsidRPr="00106A2A" w:rsidRDefault="00106A2A" w:rsidP="00106A2A">
      <w:pPr>
        <w:tabs>
          <w:tab w:val="left" w:pos="1276"/>
        </w:tabs>
        <w:autoSpaceDE w:val="0"/>
        <w:autoSpaceDN w:val="0"/>
        <w:spacing w:before="168" w:line="312" w:lineRule="auto"/>
        <w:ind w:left="1276" w:hanging="438"/>
        <w:jc w:val="both"/>
        <w:rPr>
          <w:rFonts w:eastAsia="Calibri"/>
          <w:b/>
          <w:bCs/>
          <w:i/>
          <w:iCs/>
          <w:lang w:eastAsia="en-US"/>
        </w:rPr>
      </w:pPr>
      <w:r w:rsidRPr="00106A2A">
        <w:rPr>
          <w:rFonts w:eastAsia="Symbol"/>
          <w:bCs/>
          <w:iCs/>
          <w:lang w:bidi="en-GB"/>
        </w:rPr>
        <w:t></w:t>
      </w:r>
      <w:r w:rsidRPr="00106A2A">
        <w:rPr>
          <w:rFonts w:eastAsia="Symbol"/>
          <w:bCs/>
          <w:iCs/>
          <w:lang w:bidi="en-GB"/>
        </w:rPr>
        <w:tab/>
      </w:r>
      <w:r w:rsidRPr="00106A2A">
        <w:rPr>
          <w:rFonts w:eastAsia="Calibri"/>
          <w:b/>
          <w:i/>
          <w:lang w:eastAsia="en-US"/>
        </w:rPr>
        <w:t>График за изпълнение на мярката или инвестицията; за подпомагане във връзка с превозни средства с ниски емисии — срок за постепенно намаляване на това подпомагане.</w:t>
      </w:r>
    </w:p>
    <w:p w:rsidR="00106A2A" w:rsidRPr="00106A2A" w:rsidRDefault="00106A2A" w:rsidP="00106A2A">
      <w:pPr>
        <w:widowControl/>
        <w:spacing w:before="120" w:after="120" w:line="360" w:lineRule="auto"/>
        <w:rPr>
          <w:rFonts w:eastAsia="Calibri"/>
          <w:b/>
          <w:bCs/>
          <w:i/>
          <w:iCs/>
          <w:lang w:eastAsia="en-US"/>
        </w:rPr>
      </w:pPr>
      <w:r w:rsidRPr="00106A2A">
        <w:rPr>
          <w:rFonts w:eastAsia="Calibri"/>
          <w:lang w:eastAsia="en-US"/>
        </w:rPr>
        <w:br w:type="page"/>
      </w:r>
    </w:p>
    <w:p w:rsidR="00106A2A" w:rsidRPr="00106A2A" w:rsidRDefault="00106A2A" w:rsidP="00106A2A">
      <w:pPr>
        <w:keepNext/>
        <w:keepLines/>
        <w:widowControl/>
        <w:spacing w:before="240" w:after="160" w:line="259" w:lineRule="auto"/>
        <w:ind w:left="720" w:hanging="11"/>
        <w:jc w:val="both"/>
        <w:outlineLvl w:val="2"/>
        <w:rPr>
          <w:b/>
          <w:bCs/>
          <w:i/>
          <w:iCs/>
          <w:u w:val="single"/>
          <w:lang w:eastAsia="en-US"/>
        </w:rPr>
      </w:pPr>
      <w:bookmarkStart w:id="10" w:name="_Toc128649680"/>
      <w:r w:rsidRPr="00106A2A">
        <w:rPr>
          <w:b/>
          <w:bCs/>
          <w:i/>
          <w:iCs/>
          <w:lang w:eastAsia="en-US"/>
        </w:rPr>
        <w:t>(iii)</w:t>
      </w:r>
      <w:r w:rsidRPr="00106A2A">
        <w:rPr>
          <w:b/>
          <w:bCs/>
          <w:i/>
          <w:iCs/>
          <w:lang w:eastAsia="en-US"/>
        </w:rPr>
        <w:tab/>
      </w:r>
      <w:r w:rsidRPr="00106A2A">
        <w:rPr>
          <w:rFonts w:eastAsia="Calibri"/>
          <w:b/>
          <w:i/>
          <w:u w:val="single"/>
          <w:lang w:eastAsia="en-US"/>
        </w:rPr>
        <w:t>Ненанасяне на значителни вреди</w:t>
      </w:r>
      <w:bookmarkEnd w:id="10"/>
    </w:p>
    <w:p w:rsidR="00106A2A" w:rsidRPr="00106A2A" w:rsidRDefault="00106A2A" w:rsidP="00106A2A">
      <w:pPr>
        <w:autoSpaceDE w:val="0"/>
        <w:autoSpaceDN w:val="0"/>
        <w:spacing w:before="178" w:line="360" w:lineRule="auto"/>
        <w:rPr>
          <w:b/>
          <w:bCs/>
          <w:i/>
          <w:iCs/>
          <w:lang w:eastAsia="en-US"/>
        </w:rPr>
      </w:pPr>
      <w:r w:rsidRPr="00106A2A">
        <w:rPr>
          <w:rFonts w:eastAsia="Calibri"/>
          <w:b/>
          <w:i/>
          <w:lang w:eastAsia="en-US"/>
        </w:rPr>
        <w:t>Информация за това как мерките и инвестициите, включени в компонента, съответстват на принципа за ненанасяне на значителни вреди по смисъла на член 17 от Регламент (ЕС) 2020/852. Комисията ще предостави технически насоки съгласно член 6, параграф 5 от настоящия регламент.</w:t>
      </w:r>
    </w:p>
    <w:p w:rsidR="00106A2A" w:rsidRPr="00106A2A" w:rsidRDefault="00106A2A" w:rsidP="00106A2A">
      <w:pPr>
        <w:keepNext/>
        <w:keepLines/>
        <w:widowControl/>
        <w:spacing w:before="240" w:after="160" w:line="259" w:lineRule="auto"/>
        <w:ind w:left="720" w:hanging="11"/>
        <w:jc w:val="both"/>
        <w:outlineLvl w:val="2"/>
        <w:rPr>
          <w:b/>
          <w:bCs/>
          <w:i/>
          <w:iCs/>
          <w:u w:val="single"/>
          <w:lang w:eastAsia="en-US"/>
        </w:rPr>
      </w:pPr>
      <w:bookmarkStart w:id="11" w:name="_Toc128649681"/>
      <w:r w:rsidRPr="00106A2A">
        <w:rPr>
          <w:b/>
          <w:bCs/>
          <w:i/>
          <w:iCs/>
          <w:lang w:eastAsia="en-US"/>
        </w:rPr>
        <w:t>(iv)</w:t>
      </w:r>
      <w:r w:rsidRPr="00106A2A">
        <w:rPr>
          <w:b/>
          <w:bCs/>
          <w:i/>
          <w:iCs/>
          <w:lang w:eastAsia="en-US"/>
        </w:rPr>
        <w:tab/>
      </w:r>
      <w:r w:rsidRPr="00106A2A">
        <w:rPr>
          <w:rFonts w:eastAsia="Calibri"/>
          <w:b/>
          <w:i/>
          <w:u w:val="single"/>
          <w:lang w:eastAsia="en-US"/>
        </w:rPr>
        <w:t>Междинни цели, целеви стойности и график</w:t>
      </w:r>
      <w:bookmarkEnd w:id="11"/>
    </w:p>
    <w:p w:rsidR="00106A2A" w:rsidRPr="00106A2A" w:rsidRDefault="00106A2A" w:rsidP="00106A2A">
      <w:pPr>
        <w:autoSpaceDE w:val="0"/>
        <w:autoSpaceDN w:val="0"/>
        <w:spacing w:before="180" w:line="360" w:lineRule="auto"/>
        <w:rPr>
          <w:b/>
          <w:bCs/>
          <w:i/>
          <w:iCs/>
          <w:lang w:eastAsia="en-US"/>
        </w:rPr>
      </w:pPr>
      <w:r w:rsidRPr="00106A2A">
        <w:rPr>
          <w:rFonts w:eastAsia="Calibri"/>
          <w:b/>
          <w:i/>
          <w:lang w:eastAsia="en-US"/>
        </w:rPr>
        <w:t>Информация за всяка междинна цел и целева стойност, която ще отразява напредъка по мерките за изпълнение и инвестициите по този компонент, както следва:</w:t>
      </w:r>
    </w:p>
    <w:p w:rsidR="00106A2A" w:rsidRPr="00106A2A" w:rsidRDefault="00106A2A" w:rsidP="00106A2A">
      <w:pPr>
        <w:tabs>
          <w:tab w:val="left" w:pos="1276"/>
        </w:tabs>
        <w:autoSpaceDE w:val="0"/>
        <w:autoSpaceDN w:val="0"/>
        <w:spacing w:before="20" w:line="360" w:lineRule="auto"/>
        <w:ind w:left="1276" w:hanging="425"/>
        <w:jc w:val="both"/>
        <w:rPr>
          <w:rFonts w:eastAsia="Calibri"/>
          <w:b/>
          <w:bCs/>
          <w:i/>
          <w:iCs/>
          <w:lang w:eastAsia="en-US"/>
        </w:rPr>
      </w:pPr>
      <w:r w:rsidRPr="00106A2A">
        <w:rPr>
          <w:rFonts w:eastAsia="Symbol"/>
          <w:bCs/>
          <w:iCs/>
          <w:lang w:bidi="en-GB"/>
        </w:rPr>
        <w:t></w:t>
      </w:r>
      <w:r w:rsidRPr="00106A2A">
        <w:rPr>
          <w:rFonts w:eastAsia="Symbol"/>
          <w:bCs/>
          <w:iCs/>
          <w:lang w:bidi="en-GB"/>
        </w:rPr>
        <w:tab/>
      </w:r>
      <w:r w:rsidRPr="00106A2A">
        <w:rPr>
          <w:rFonts w:eastAsia="Calibri"/>
          <w:b/>
          <w:i/>
          <w:lang w:eastAsia="en-US"/>
        </w:rPr>
        <w:t>защо е избрана конкретната междинна цел или целева стойност;</w:t>
      </w:r>
    </w:p>
    <w:p w:rsidR="00106A2A" w:rsidRPr="00106A2A" w:rsidRDefault="00106A2A" w:rsidP="00106A2A">
      <w:pPr>
        <w:tabs>
          <w:tab w:val="left" w:pos="1276"/>
        </w:tabs>
        <w:autoSpaceDE w:val="0"/>
        <w:autoSpaceDN w:val="0"/>
        <w:spacing w:before="20" w:line="360" w:lineRule="auto"/>
        <w:ind w:left="1276" w:hanging="425"/>
        <w:jc w:val="both"/>
        <w:rPr>
          <w:rFonts w:eastAsia="Calibri"/>
          <w:b/>
          <w:bCs/>
          <w:i/>
          <w:iCs/>
          <w:lang w:eastAsia="en-US"/>
        </w:rPr>
      </w:pPr>
      <w:r w:rsidRPr="00106A2A">
        <w:rPr>
          <w:rFonts w:eastAsia="Symbol"/>
          <w:bCs/>
          <w:iCs/>
          <w:lang w:bidi="en-GB"/>
        </w:rPr>
        <w:t></w:t>
      </w:r>
      <w:r w:rsidRPr="00106A2A">
        <w:rPr>
          <w:rFonts w:eastAsia="Symbol"/>
          <w:bCs/>
          <w:iCs/>
          <w:lang w:bidi="en-GB"/>
        </w:rPr>
        <w:tab/>
      </w:r>
      <w:r w:rsidRPr="00106A2A">
        <w:rPr>
          <w:rFonts w:eastAsia="Calibri"/>
          <w:b/>
          <w:i/>
          <w:lang w:eastAsia="en-US"/>
        </w:rPr>
        <w:t>какво измерва междинната цел или целевата стойност;</w:t>
      </w:r>
    </w:p>
    <w:p w:rsidR="00106A2A" w:rsidRPr="00106A2A" w:rsidRDefault="00106A2A" w:rsidP="00106A2A">
      <w:pPr>
        <w:tabs>
          <w:tab w:val="left" w:pos="1276"/>
        </w:tabs>
        <w:autoSpaceDE w:val="0"/>
        <w:autoSpaceDN w:val="0"/>
        <w:spacing w:before="20" w:line="360" w:lineRule="auto"/>
        <w:ind w:left="1276" w:hanging="425"/>
        <w:jc w:val="both"/>
        <w:rPr>
          <w:rFonts w:eastAsia="Calibri"/>
          <w:b/>
          <w:bCs/>
          <w:i/>
          <w:iCs/>
          <w:lang w:eastAsia="en-US"/>
        </w:rPr>
      </w:pPr>
      <w:r w:rsidRPr="00106A2A">
        <w:rPr>
          <w:rFonts w:eastAsia="Symbol"/>
          <w:bCs/>
          <w:iCs/>
          <w:lang w:bidi="en-GB"/>
        </w:rPr>
        <w:t></w:t>
      </w:r>
      <w:r w:rsidRPr="00106A2A">
        <w:rPr>
          <w:rFonts w:eastAsia="Symbol"/>
          <w:bCs/>
          <w:iCs/>
          <w:lang w:bidi="en-GB"/>
        </w:rPr>
        <w:tab/>
      </w:r>
      <w:r w:rsidRPr="00106A2A">
        <w:rPr>
          <w:rFonts w:eastAsia="Calibri"/>
          <w:b/>
          <w:i/>
          <w:lang w:eastAsia="en-US"/>
        </w:rPr>
        <w:t>как ще се извършва измерването, каква методика и източник ще бъдат използвани и как ще бъде обективно проверено правилното постигане на междинната цел или целевата стойност;</w:t>
      </w:r>
    </w:p>
    <w:p w:rsidR="00106A2A" w:rsidRPr="00106A2A" w:rsidRDefault="00106A2A" w:rsidP="00106A2A">
      <w:pPr>
        <w:tabs>
          <w:tab w:val="left" w:pos="1276"/>
        </w:tabs>
        <w:autoSpaceDE w:val="0"/>
        <w:autoSpaceDN w:val="0"/>
        <w:spacing w:before="2" w:line="360" w:lineRule="auto"/>
        <w:ind w:left="1276" w:hanging="425"/>
        <w:rPr>
          <w:rFonts w:eastAsia="Calibri"/>
          <w:b/>
          <w:bCs/>
          <w:i/>
          <w:iCs/>
          <w:lang w:eastAsia="en-US"/>
        </w:rPr>
      </w:pPr>
      <w:r w:rsidRPr="00106A2A">
        <w:rPr>
          <w:rFonts w:eastAsia="Symbol"/>
          <w:bCs/>
          <w:iCs/>
          <w:lang w:bidi="en-GB"/>
        </w:rPr>
        <w:t></w:t>
      </w:r>
      <w:r w:rsidRPr="00106A2A">
        <w:rPr>
          <w:rFonts w:eastAsia="Symbol"/>
          <w:bCs/>
          <w:iCs/>
          <w:lang w:bidi="en-GB"/>
        </w:rPr>
        <w:tab/>
      </w:r>
      <w:r w:rsidRPr="00106A2A">
        <w:rPr>
          <w:rFonts w:eastAsia="Calibri"/>
          <w:b/>
          <w:i/>
          <w:lang w:eastAsia="en-US"/>
        </w:rPr>
        <w:t>какво е базовото равнище (отправна точка) и какво равнище или конкретно достижение трябва да бъде постигнато;</w:t>
      </w:r>
    </w:p>
    <w:p w:rsidR="00106A2A" w:rsidRPr="00106A2A" w:rsidRDefault="00106A2A" w:rsidP="00106A2A">
      <w:pPr>
        <w:tabs>
          <w:tab w:val="left" w:pos="1276"/>
        </w:tabs>
        <w:autoSpaceDE w:val="0"/>
        <w:autoSpaceDN w:val="0"/>
        <w:spacing w:before="5" w:line="360" w:lineRule="auto"/>
        <w:ind w:left="1276" w:hanging="425"/>
        <w:jc w:val="both"/>
        <w:rPr>
          <w:rFonts w:eastAsia="Calibri"/>
          <w:b/>
          <w:bCs/>
          <w:i/>
          <w:iCs/>
          <w:lang w:eastAsia="en-US"/>
        </w:rPr>
      </w:pPr>
      <w:r w:rsidRPr="00106A2A">
        <w:rPr>
          <w:rFonts w:eastAsia="Symbol"/>
          <w:bCs/>
          <w:iCs/>
          <w:lang w:bidi="en-GB"/>
        </w:rPr>
        <w:t></w:t>
      </w:r>
      <w:r w:rsidRPr="00106A2A">
        <w:rPr>
          <w:rFonts w:eastAsia="Symbol"/>
          <w:bCs/>
          <w:iCs/>
          <w:lang w:bidi="en-GB"/>
        </w:rPr>
        <w:tab/>
      </w:r>
      <w:r w:rsidRPr="00106A2A">
        <w:rPr>
          <w:rFonts w:eastAsia="Calibri"/>
          <w:b/>
          <w:i/>
          <w:lang w:eastAsia="en-US"/>
        </w:rPr>
        <w:t>кога ще бъде постигнато (по тримесечия и години);</w:t>
      </w:r>
    </w:p>
    <w:p w:rsidR="00106A2A" w:rsidRPr="00106A2A" w:rsidRDefault="00106A2A" w:rsidP="00106A2A">
      <w:pPr>
        <w:tabs>
          <w:tab w:val="left" w:pos="1276"/>
        </w:tabs>
        <w:autoSpaceDE w:val="0"/>
        <w:autoSpaceDN w:val="0"/>
        <w:spacing w:before="5" w:line="360" w:lineRule="auto"/>
        <w:ind w:left="1276" w:hanging="425"/>
        <w:rPr>
          <w:rFonts w:eastAsia="Calibri"/>
          <w:b/>
          <w:bCs/>
          <w:i/>
          <w:iCs/>
          <w:lang w:eastAsia="en-US"/>
        </w:rPr>
      </w:pPr>
      <w:r w:rsidRPr="00106A2A">
        <w:rPr>
          <w:rFonts w:eastAsia="Symbol"/>
          <w:bCs/>
          <w:iCs/>
          <w:lang w:bidi="en-GB"/>
        </w:rPr>
        <w:t></w:t>
      </w:r>
      <w:r w:rsidRPr="00106A2A">
        <w:rPr>
          <w:rFonts w:eastAsia="Symbol"/>
          <w:bCs/>
          <w:iCs/>
          <w:lang w:bidi="en-GB"/>
        </w:rPr>
        <w:tab/>
      </w:r>
      <w:r w:rsidRPr="00106A2A">
        <w:rPr>
          <w:rFonts w:eastAsia="Calibri"/>
          <w:b/>
          <w:i/>
          <w:lang w:eastAsia="en-US"/>
        </w:rPr>
        <w:t>кой и коя институция ще отговарят за изпълнението, измерването и докладването.</w:t>
      </w:r>
    </w:p>
    <w:p w:rsidR="00106A2A" w:rsidRPr="00106A2A" w:rsidRDefault="00106A2A" w:rsidP="00106A2A">
      <w:pPr>
        <w:widowControl/>
        <w:spacing w:before="120" w:after="160" w:line="360" w:lineRule="auto"/>
        <w:rPr>
          <w:rFonts w:eastAsia="Calibri"/>
          <w:b/>
          <w:bCs/>
          <w:i/>
          <w:iCs/>
          <w:lang w:eastAsia="en-US"/>
        </w:rPr>
      </w:pPr>
      <w:r w:rsidRPr="00106A2A">
        <w:rPr>
          <w:rFonts w:eastAsia="Calibri"/>
          <w:b/>
          <w:i/>
          <w:lang w:eastAsia="en-US"/>
        </w:rPr>
        <w:t>Таблица, съдържаща междинните цели, целевите стойности и графика за компонентите със следната информация:</w:t>
      </w:r>
    </w:p>
    <w:tbl>
      <w:tblPr>
        <w:tblStyle w:val="TableGrid1"/>
        <w:tblpPr w:leftFromText="180" w:rightFromText="180" w:vertAnchor="text" w:horzAnchor="margin" w:tblpXSpec="center" w:tblpY="12"/>
        <w:tblW w:w="11052" w:type="dxa"/>
        <w:tblLayout w:type="fixed"/>
        <w:tblLook w:val="04A0" w:firstRow="1" w:lastRow="0" w:firstColumn="1" w:lastColumn="0" w:noHBand="0" w:noVBand="1"/>
      </w:tblPr>
      <w:tblGrid>
        <w:gridCol w:w="846"/>
        <w:gridCol w:w="992"/>
        <w:gridCol w:w="992"/>
        <w:gridCol w:w="993"/>
        <w:gridCol w:w="1134"/>
        <w:gridCol w:w="850"/>
        <w:gridCol w:w="851"/>
        <w:gridCol w:w="708"/>
        <w:gridCol w:w="993"/>
        <w:gridCol w:w="992"/>
        <w:gridCol w:w="1701"/>
      </w:tblGrid>
      <w:tr w:rsidR="00106A2A" w:rsidRPr="00106A2A" w:rsidTr="006919B6">
        <w:trPr>
          <w:trHeight w:val="594"/>
        </w:trPr>
        <w:tc>
          <w:tcPr>
            <w:tcW w:w="846" w:type="dxa"/>
            <w:vMerge w:val="restart"/>
          </w:tcPr>
          <w:p w:rsidR="00106A2A" w:rsidRPr="00106A2A" w:rsidRDefault="00106A2A" w:rsidP="00106A2A">
            <w:pPr>
              <w:widowControl/>
              <w:rPr>
                <w:b/>
                <w:bCs/>
                <w:i/>
                <w:iCs/>
                <w:lang w:bidi="en-GB"/>
              </w:rPr>
            </w:pPr>
          </w:p>
          <w:p w:rsidR="00106A2A" w:rsidRPr="00106A2A" w:rsidRDefault="00106A2A" w:rsidP="00106A2A">
            <w:pPr>
              <w:widowControl/>
              <w:rPr>
                <w:b/>
                <w:bCs/>
                <w:i/>
                <w:iCs/>
              </w:rPr>
            </w:pPr>
            <w:r w:rsidRPr="00106A2A">
              <w:rPr>
                <w:b/>
                <w:i/>
              </w:rPr>
              <w:t>Пореден номер</w:t>
            </w:r>
          </w:p>
        </w:tc>
        <w:tc>
          <w:tcPr>
            <w:tcW w:w="992" w:type="dxa"/>
            <w:vMerge w:val="restart"/>
          </w:tcPr>
          <w:p w:rsidR="00106A2A" w:rsidRPr="00106A2A" w:rsidRDefault="00106A2A" w:rsidP="00106A2A">
            <w:pPr>
              <w:widowControl/>
              <w:rPr>
                <w:b/>
                <w:bCs/>
                <w:i/>
                <w:iCs/>
              </w:rPr>
            </w:pPr>
            <w:r w:rsidRPr="00106A2A">
              <w:rPr>
                <w:b/>
                <w:i/>
              </w:rPr>
              <w:t>Наименование на мярката/инвестицията</w:t>
            </w:r>
          </w:p>
        </w:tc>
        <w:tc>
          <w:tcPr>
            <w:tcW w:w="992" w:type="dxa"/>
            <w:vMerge w:val="restart"/>
          </w:tcPr>
          <w:p w:rsidR="00106A2A" w:rsidRPr="00106A2A" w:rsidRDefault="00106A2A" w:rsidP="00106A2A">
            <w:pPr>
              <w:widowControl/>
              <w:rPr>
                <w:b/>
                <w:bCs/>
                <w:i/>
                <w:iCs/>
              </w:rPr>
            </w:pPr>
            <w:r w:rsidRPr="00106A2A">
              <w:rPr>
                <w:b/>
                <w:i/>
              </w:rPr>
              <w:t>Междинна цел или целева стойност</w:t>
            </w:r>
          </w:p>
        </w:tc>
        <w:tc>
          <w:tcPr>
            <w:tcW w:w="993" w:type="dxa"/>
            <w:vMerge w:val="restart"/>
          </w:tcPr>
          <w:p w:rsidR="00106A2A" w:rsidRPr="00106A2A" w:rsidRDefault="00106A2A" w:rsidP="00106A2A">
            <w:pPr>
              <w:widowControl/>
              <w:rPr>
                <w:b/>
                <w:bCs/>
                <w:i/>
                <w:iCs/>
              </w:rPr>
            </w:pPr>
            <w:r w:rsidRPr="00106A2A">
              <w:rPr>
                <w:b/>
                <w:i/>
              </w:rPr>
              <w:t xml:space="preserve">Наименование на междинната цел/целевата стойност </w:t>
            </w:r>
          </w:p>
        </w:tc>
        <w:tc>
          <w:tcPr>
            <w:tcW w:w="1134" w:type="dxa"/>
            <w:vMerge w:val="restart"/>
          </w:tcPr>
          <w:p w:rsidR="00106A2A" w:rsidRPr="00106A2A" w:rsidRDefault="00106A2A" w:rsidP="00106A2A">
            <w:pPr>
              <w:widowControl/>
              <w:rPr>
                <w:b/>
                <w:bCs/>
                <w:i/>
                <w:iCs/>
              </w:rPr>
            </w:pPr>
            <w:r w:rsidRPr="00106A2A">
              <w:rPr>
                <w:b/>
                <w:i/>
              </w:rPr>
              <w:t>Качествени показатели</w:t>
            </w:r>
          </w:p>
          <w:p w:rsidR="00106A2A" w:rsidRPr="00106A2A" w:rsidRDefault="00106A2A" w:rsidP="00106A2A">
            <w:pPr>
              <w:widowControl/>
              <w:rPr>
                <w:b/>
                <w:bCs/>
                <w:i/>
                <w:iCs/>
              </w:rPr>
            </w:pPr>
            <w:r w:rsidRPr="00106A2A">
              <w:rPr>
                <w:b/>
                <w:i/>
              </w:rPr>
              <w:t>(междинни цели)</w:t>
            </w:r>
          </w:p>
        </w:tc>
        <w:tc>
          <w:tcPr>
            <w:tcW w:w="2409" w:type="dxa"/>
            <w:gridSpan w:val="3"/>
          </w:tcPr>
          <w:p w:rsidR="00106A2A" w:rsidRPr="00106A2A" w:rsidRDefault="00106A2A" w:rsidP="00106A2A">
            <w:pPr>
              <w:widowControl/>
              <w:rPr>
                <w:b/>
                <w:bCs/>
                <w:i/>
                <w:iCs/>
              </w:rPr>
            </w:pPr>
            <w:r w:rsidRPr="00106A2A">
              <w:rPr>
                <w:b/>
                <w:i/>
              </w:rPr>
              <w:t>Количествени показатели (целеви стойности)</w:t>
            </w:r>
          </w:p>
        </w:tc>
        <w:tc>
          <w:tcPr>
            <w:tcW w:w="1985" w:type="dxa"/>
            <w:gridSpan w:val="2"/>
          </w:tcPr>
          <w:p w:rsidR="00106A2A" w:rsidRPr="00106A2A" w:rsidRDefault="00106A2A" w:rsidP="00106A2A">
            <w:pPr>
              <w:widowControl/>
              <w:rPr>
                <w:b/>
                <w:bCs/>
                <w:i/>
                <w:iCs/>
              </w:rPr>
            </w:pPr>
            <w:r w:rsidRPr="00106A2A">
              <w:rPr>
                <w:b/>
                <w:i/>
              </w:rPr>
              <w:t>График на постигането</w:t>
            </w:r>
          </w:p>
        </w:tc>
        <w:tc>
          <w:tcPr>
            <w:tcW w:w="1701" w:type="dxa"/>
            <w:vMerge w:val="restart"/>
          </w:tcPr>
          <w:p w:rsidR="00106A2A" w:rsidRPr="00106A2A" w:rsidRDefault="00106A2A" w:rsidP="00106A2A">
            <w:pPr>
              <w:widowControl/>
              <w:rPr>
                <w:b/>
                <w:bCs/>
                <w:i/>
                <w:iCs/>
              </w:rPr>
            </w:pPr>
            <w:r w:rsidRPr="00106A2A">
              <w:rPr>
                <w:b/>
                <w:i/>
              </w:rPr>
              <w:t>Описание на всяка междинна цел и целева стойност</w:t>
            </w:r>
          </w:p>
        </w:tc>
      </w:tr>
      <w:tr w:rsidR="00106A2A" w:rsidRPr="00106A2A" w:rsidTr="006919B6">
        <w:trPr>
          <w:trHeight w:val="594"/>
        </w:trPr>
        <w:tc>
          <w:tcPr>
            <w:tcW w:w="846" w:type="dxa"/>
            <w:vMerge/>
          </w:tcPr>
          <w:p w:rsidR="00106A2A" w:rsidRPr="00106A2A" w:rsidRDefault="00106A2A" w:rsidP="00106A2A">
            <w:pPr>
              <w:widowControl/>
              <w:rPr>
                <w:b/>
                <w:bCs/>
                <w:i/>
                <w:iCs/>
                <w:lang w:bidi="en-GB"/>
              </w:rPr>
            </w:pPr>
          </w:p>
        </w:tc>
        <w:tc>
          <w:tcPr>
            <w:tcW w:w="992" w:type="dxa"/>
            <w:vMerge/>
          </w:tcPr>
          <w:p w:rsidR="00106A2A" w:rsidRPr="00106A2A" w:rsidRDefault="00106A2A" w:rsidP="00106A2A">
            <w:pPr>
              <w:widowControl/>
              <w:rPr>
                <w:b/>
                <w:bCs/>
                <w:i/>
                <w:iCs/>
                <w:lang w:bidi="en-GB"/>
              </w:rPr>
            </w:pPr>
          </w:p>
        </w:tc>
        <w:tc>
          <w:tcPr>
            <w:tcW w:w="992" w:type="dxa"/>
            <w:vMerge/>
          </w:tcPr>
          <w:p w:rsidR="00106A2A" w:rsidRPr="00106A2A" w:rsidRDefault="00106A2A" w:rsidP="00106A2A">
            <w:pPr>
              <w:widowControl/>
              <w:rPr>
                <w:b/>
                <w:bCs/>
                <w:i/>
                <w:iCs/>
              </w:rPr>
            </w:pPr>
          </w:p>
        </w:tc>
        <w:tc>
          <w:tcPr>
            <w:tcW w:w="993" w:type="dxa"/>
            <w:vMerge/>
          </w:tcPr>
          <w:p w:rsidR="00106A2A" w:rsidRPr="00106A2A" w:rsidRDefault="00106A2A" w:rsidP="00106A2A">
            <w:pPr>
              <w:widowControl/>
              <w:rPr>
                <w:b/>
                <w:bCs/>
                <w:i/>
                <w:iCs/>
              </w:rPr>
            </w:pPr>
          </w:p>
        </w:tc>
        <w:tc>
          <w:tcPr>
            <w:tcW w:w="1134" w:type="dxa"/>
            <w:vMerge/>
          </w:tcPr>
          <w:p w:rsidR="00106A2A" w:rsidRPr="00106A2A" w:rsidRDefault="00106A2A" w:rsidP="00106A2A">
            <w:pPr>
              <w:widowControl/>
              <w:rPr>
                <w:b/>
                <w:bCs/>
                <w:i/>
                <w:iCs/>
              </w:rPr>
            </w:pPr>
          </w:p>
        </w:tc>
        <w:tc>
          <w:tcPr>
            <w:tcW w:w="850" w:type="dxa"/>
          </w:tcPr>
          <w:p w:rsidR="00106A2A" w:rsidRPr="00106A2A" w:rsidRDefault="00106A2A" w:rsidP="00106A2A">
            <w:pPr>
              <w:widowControl/>
              <w:rPr>
                <w:b/>
                <w:bCs/>
                <w:i/>
                <w:iCs/>
              </w:rPr>
            </w:pPr>
            <w:r w:rsidRPr="00106A2A">
              <w:rPr>
                <w:b/>
                <w:i/>
              </w:rPr>
              <w:t>Единица мярка/инвестиция</w:t>
            </w:r>
          </w:p>
        </w:tc>
        <w:tc>
          <w:tcPr>
            <w:tcW w:w="851" w:type="dxa"/>
          </w:tcPr>
          <w:p w:rsidR="00106A2A" w:rsidRPr="00106A2A" w:rsidRDefault="00106A2A" w:rsidP="00106A2A">
            <w:pPr>
              <w:widowControl/>
              <w:rPr>
                <w:b/>
                <w:bCs/>
                <w:i/>
                <w:iCs/>
              </w:rPr>
            </w:pPr>
            <w:r w:rsidRPr="00106A2A">
              <w:rPr>
                <w:b/>
                <w:i/>
              </w:rPr>
              <w:t>Базово равнище</w:t>
            </w:r>
          </w:p>
        </w:tc>
        <w:tc>
          <w:tcPr>
            <w:tcW w:w="708" w:type="dxa"/>
          </w:tcPr>
          <w:p w:rsidR="00106A2A" w:rsidRPr="00106A2A" w:rsidRDefault="00106A2A" w:rsidP="00106A2A">
            <w:pPr>
              <w:widowControl/>
              <w:rPr>
                <w:b/>
                <w:bCs/>
                <w:i/>
                <w:iCs/>
              </w:rPr>
            </w:pPr>
            <w:r w:rsidRPr="00106A2A">
              <w:rPr>
                <w:b/>
                <w:i/>
              </w:rPr>
              <w:t>Обща цел</w:t>
            </w:r>
          </w:p>
        </w:tc>
        <w:tc>
          <w:tcPr>
            <w:tcW w:w="993" w:type="dxa"/>
          </w:tcPr>
          <w:p w:rsidR="00106A2A" w:rsidRPr="00106A2A" w:rsidRDefault="00106A2A" w:rsidP="00106A2A">
            <w:pPr>
              <w:widowControl/>
              <w:rPr>
                <w:b/>
                <w:bCs/>
                <w:i/>
                <w:iCs/>
              </w:rPr>
            </w:pPr>
            <w:r w:rsidRPr="00106A2A">
              <w:rPr>
                <w:b/>
                <w:i/>
              </w:rPr>
              <w:t>Тримесечие</w:t>
            </w:r>
          </w:p>
        </w:tc>
        <w:tc>
          <w:tcPr>
            <w:tcW w:w="992" w:type="dxa"/>
          </w:tcPr>
          <w:p w:rsidR="00106A2A" w:rsidRPr="00106A2A" w:rsidRDefault="00106A2A" w:rsidP="00106A2A">
            <w:pPr>
              <w:widowControl/>
              <w:rPr>
                <w:b/>
                <w:bCs/>
                <w:i/>
                <w:iCs/>
              </w:rPr>
            </w:pPr>
            <w:r w:rsidRPr="00106A2A">
              <w:rPr>
                <w:b/>
                <w:i/>
              </w:rPr>
              <w:t>Година</w:t>
            </w:r>
          </w:p>
          <w:p w:rsidR="00106A2A" w:rsidRPr="00106A2A" w:rsidRDefault="00106A2A" w:rsidP="00106A2A">
            <w:pPr>
              <w:widowControl/>
              <w:rPr>
                <w:b/>
                <w:bCs/>
                <w:i/>
                <w:iCs/>
              </w:rPr>
            </w:pPr>
          </w:p>
        </w:tc>
        <w:tc>
          <w:tcPr>
            <w:tcW w:w="1701" w:type="dxa"/>
            <w:vMerge/>
          </w:tcPr>
          <w:p w:rsidR="00106A2A" w:rsidRPr="00106A2A" w:rsidRDefault="00106A2A" w:rsidP="00106A2A">
            <w:pPr>
              <w:widowControl/>
              <w:rPr>
                <w:b/>
                <w:bCs/>
                <w:i/>
                <w:iCs/>
              </w:rPr>
            </w:pPr>
          </w:p>
        </w:tc>
      </w:tr>
      <w:tr w:rsidR="00106A2A" w:rsidRPr="00106A2A" w:rsidTr="006919B6">
        <w:trPr>
          <w:trHeight w:val="337"/>
        </w:trPr>
        <w:tc>
          <w:tcPr>
            <w:tcW w:w="846" w:type="dxa"/>
          </w:tcPr>
          <w:p w:rsidR="00106A2A" w:rsidRPr="00106A2A" w:rsidRDefault="00106A2A" w:rsidP="00106A2A">
            <w:pPr>
              <w:widowControl/>
              <w:rPr>
                <w:b/>
                <w:bCs/>
                <w:i/>
                <w:iCs/>
              </w:rPr>
            </w:pPr>
          </w:p>
        </w:tc>
        <w:tc>
          <w:tcPr>
            <w:tcW w:w="992" w:type="dxa"/>
          </w:tcPr>
          <w:p w:rsidR="00106A2A" w:rsidRPr="00106A2A" w:rsidRDefault="00106A2A" w:rsidP="00106A2A">
            <w:pPr>
              <w:widowControl/>
              <w:rPr>
                <w:b/>
                <w:bCs/>
                <w:i/>
                <w:iCs/>
              </w:rPr>
            </w:pPr>
          </w:p>
        </w:tc>
        <w:tc>
          <w:tcPr>
            <w:tcW w:w="992" w:type="dxa"/>
          </w:tcPr>
          <w:p w:rsidR="00106A2A" w:rsidRPr="00106A2A" w:rsidRDefault="00106A2A" w:rsidP="00106A2A">
            <w:pPr>
              <w:widowControl/>
              <w:rPr>
                <w:b/>
                <w:bCs/>
                <w:i/>
                <w:iCs/>
              </w:rPr>
            </w:pPr>
          </w:p>
        </w:tc>
        <w:tc>
          <w:tcPr>
            <w:tcW w:w="993" w:type="dxa"/>
          </w:tcPr>
          <w:p w:rsidR="00106A2A" w:rsidRPr="00106A2A" w:rsidRDefault="00106A2A" w:rsidP="00106A2A">
            <w:pPr>
              <w:widowControl/>
              <w:rPr>
                <w:b/>
                <w:bCs/>
                <w:i/>
                <w:iCs/>
              </w:rPr>
            </w:pPr>
          </w:p>
        </w:tc>
        <w:tc>
          <w:tcPr>
            <w:tcW w:w="1134" w:type="dxa"/>
          </w:tcPr>
          <w:p w:rsidR="00106A2A" w:rsidRPr="00106A2A" w:rsidRDefault="00106A2A" w:rsidP="00106A2A">
            <w:pPr>
              <w:widowControl/>
              <w:rPr>
                <w:b/>
                <w:bCs/>
                <w:i/>
                <w:iCs/>
              </w:rPr>
            </w:pPr>
          </w:p>
        </w:tc>
        <w:tc>
          <w:tcPr>
            <w:tcW w:w="850" w:type="dxa"/>
          </w:tcPr>
          <w:p w:rsidR="00106A2A" w:rsidRPr="00106A2A" w:rsidRDefault="00106A2A" w:rsidP="00106A2A">
            <w:pPr>
              <w:widowControl/>
              <w:rPr>
                <w:b/>
                <w:bCs/>
                <w:i/>
                <w:iCs/>
              </w:rPr>
            </w:pPr>
          </w:p>
        </w:tc>
        <w:tc>
          <w:tcPr>
            <w:tcW w:w="851" w:type="dxa"/>
          </w:tcPr>
          <w:p w:rsidR="00106A2A" w:rsidRPr="00106A2A" w:rsidRDefault="00106A2A" w:rsidP="00106A2A">
            <w:pPr>
              <w:widowControl/>
              <w:rPr>
                <w:b/>
                <w:bCs/>
                <w:i/>
                <w:iCs/>
              </w:rPr>
            </w:pPr>
          </w:p>
        </w:tc>
        <w:tc>
          <w:tcPr>
            <w:tcW w:w="708" w:type="dxa"/>
          </w:tcPr>
          <w:p w:rsidR="00106A2A" w:rsidRPr="00106A2A" w:rsidRDefault="00106A2A" w:rsidP="00106A2A">
            <w:pPr>
              <w:widowControl/>
              <w:rPr>
                <w:b/>
                <w:bCs/>
                <w:i/>
                <w:iCs/>
              </w:rPr>
            </w:pPr>
          </w:p>
        </w:tc>
        <w:tc>
          <w:tcPr>
            <w:tcW w:w="993" w:type="dxa"/>
          </w:tcPr>
          <w:p w:rsidR="00106A2A" w:rsidRPr="00106A2A" w:rsidRDefault="00106A2A" w:rsidP="00106A2A">
            <w:pPr>
              <w:widowControl/>
              <w:rPr>
                <w:b/>
                <w:bCs/>
                <w:i/>
                <w:iCs/>
              </w:rPr>
            </w:pPr>
          </w:p>
        </w:tc>
        <w:tc>
          <w:tcPr>
            <w:tcW w:w="992" w:type="dxa"/>
          </w:tcPr>
          <w:p w:rsidR="00106A2A" w:rsidRPr="00106A2A" w:rsidRDefault="00106A2A" w:rsidP="00106A2A">
            <w:pPr>
              <w:widowControl/>
              <w:rPr>
                <w:b/>
                <w:bCs/>
                <w:i/>
                <w:iCs/>
              </w:rPr>
            </w:pPr>
          </w:p>
        </w:tc>
        <w:tc>
          <w:tcPr>
            <w:tcW w:w="1701" w:type="dxa"/>
          </w:tcPr>
          <w:p w:rsidR="00106A2A" w:rsidRPr="00106A2A" w:rsidRDefault="00106A2A" w:rsidP="00106A2A">
            <w:pPr>
              <w:widowControl/>
              <w:rPr>
                <w:b/>
                <w:bCs/>
                <w:i/>
                <w:iCs/>
              </w:rPr>
            </w:pPr>
          </w:p>
        </w:tc>
      </w:tr>
    </w:tbl>
    <w:p w:rsidR="00106A2A" w:rsidRPr="00106A2A" w:rsidRDefault="00106A2A" w:rsidP="00106A2A">
      <w:pPr>
        <w:autoSpaceDE w:val="0"/>
        <w:autoSpaceDN w:val="0"/>
        <w:spacing w:before="185" w:line="256" w:lineRule="auto"/>
        <w:jc w:val="both"/>
        <w:outlineLvl w:val="2"/>
        <w:rPr>
          <w:b/>
          <w:bCs/>
          <w:i/>
          <w:iCs/>
          <w:lang w:bidi="en-GB"/>
        </w:rPr>
      </w:pPr>
    </w:p>
    <w:p w:rsidR="00106A2A" w:rsidRPr="00106A2A" w:rsidRDefault="00106A2A" w:rsidP="00106A2A">
      <w:pPr>
        <w:widowControl/>
        <w:spacing w:before="120" w:after="120" w:line="360" w:lineRule="auto"/>
        <w:rPr>
          <w:b/>
          <w:bCs/>
          <w:i/>
          <w:iCs/>
          <w:lang w:eastAsia="en-US"/>
        </w:rPr>
      </w:pPr>
      <w:r w:rsidRPr="00106A2A">
        <w:rPr>
          <w:rFonts w:eastAsia="Calibri"/>
          <w:lang w:eastAsia="en-US"/>
        </w:rPr>
        <w:br w:type="page"/>
      </w:r>
    </w:p>
    <w:p w:rsidR="00106A2A" w:rsidRPr="00106A2A" w:rsidRDefault="00106A2A" w:rsidP="00106A2A">
      <w:pPr>
        <w:keepNext/>
        <w:keepLines/>
        <w:widowControl/>
        <w:spacing w:before="240" w:after="160" w:line="259" w:lineRule="auto"/>
        <w:ind w:left="720" w:hanging="11"/>
        <w:jc w:val="both"/>
        <w:outlineLvl w:val="2"/>
        <w:rPr>
          <w:b/>
          <w:bCs/>
          <w:i/>
          <w:iCs/>
          <w:u w:val="single"/>
          <w:lang w:eastAsia="en-US"/>
        </w:rPr>
      </w:pPr>
      <w:bookmarkStart w:id="12" w:name="_Toc128649682"/>
      <w:r w:rsidRPr="00106A2A">
        <w:rPr>
          <w:b/>
          <w:bCs/>
          <w:i/>
          <w:iCs/>
          <w:lang w:eastAsia="en-US"/>
        </w:rPr>
        <w:t>(v)</w:t>
      </w:r>
      <w:r w:rsidRPr="00106A2A">
        <w:rPr>
          <w:b/>
          <w:bCs/>
          <w:i/>
          <w:iCs/>
          <w:lang w:eastAsia="en-US"/>
        </w:rPr>
        <w:tab/>
      </w:r>
      <w:r w:rsidRPr="00106A2A">
        <w:rPr>
          <w:rFonts w:eastAsia="Calibri"/>
          <w:b/>
          <w:i/>
          <w:u w:val="single"/>
          <w:lang w:eastAsia="en-US"/>
        </w:rPr>
        <w:t>Финансиране и разходи</w:t>
      </w:r>
      <w:bookmarkEnd w:id="12"/>
    </w:p>
    <w:p w:rsidR="00106A2A" w:rsidRPr="00106A2A" w:rsidRDefault="00106A2A" w:rsidP="00106A2A">
      <w:pPr>
        <w:autoSpaceDE w:val="0"/>
        <w:autoSpaceDN w:val="0"/>
        <w:spacing w:before="180" w:line="360" w:lineRule="auto"/>
        <w:rPr>
          <w:b/>
          <w:bCs/>
          <w:i/>
          <w:iCs/>
          <w:lang w:eastAsia="en-US"/>
        </w:rPr>
      </w:pPr>
      <w:r w:rsidRPr="00106A2A">
        <w:rPr>
          <w:rFonts w:eastAsia="Calibri"/>
          <w:b/>
          <w:i/>
          <w:lang w:eastAsia="en-US"/>
        </w:rPr>
        <w:t>Информация и обяснение за прогнозните общи разходи за компонента и за всяка мярка и инвестиция, подкрепени с подходяща обосновка, включително:</w:t>
      </w:r>
    </w:p>
    <w:p w:rsidR="00106A2A" w:rsidRPr="00106A2A" w:rsidRDefault="00106A2A" w:rsidP="00106A2A">
      <w:pPr>
        <w:autoSpaceDE w:val="0"/>
        <w:autoSpaceDN w:val="0"/>
        <w:spacing w:before="180" w:line="360" w:lineRule="auto"/>
        <w:ind w:left="1276" w:hanging="425"/>
        <w:contextualSpacing/>
        <w:jc w:val="both"/>
        <w:rPr>
          <w:b/>
          <w:bCs/>
          <w:i/>
          <w:iCs/>
          <w:lang w:eastAsia="en-US"/>
        </w:rPr>
      </w:pPr>
      <w:r w:rsidRPr="00106A2A">
        <w:rPr>
          <w:bCs/>
          <w:iCs/>
          <w:lang w:eastAsia="en-US"/>
        </w:rPr>
        <w:t></w:t>
      </w:r>
      <w:r w:rsidRPr="00106A2A">
        <w:rPr>
          <w:bCs/>
          <w:iCs/>
          <w:lang w:eastAsia="en-US"/>
        </w:rPr>
        <w:tab/>
      </w:r>
      <w:r w:rsidRPr="00106A2A">
        <w:rPr>
          <w:rFonts w:eastAsia="Calibri"/>
          <w:b/>
          <w:i/>
          <w:lang w:eastAsia="en-US"/>
        </w:rPr>
        <w:t>Използваната методика, направените допускания (напр. относно единичните разходи, разходите за вложените ресурси) и обосновката на тези допускания;</w:t>
      </w:r>
    </w:p>
    <w:p w:rsidR="00106A2A" w:rsidRPr="00106A2A" w:rsidRDefault="00106A2A" w:rsidP="00106A2A">
      <w:pPr>
        <w:autoSpaceDE w:val="0"/>
        <w:autoSpaceDN w:val="0"/>
        <w:spacing w:before="180" w:line="360" w:lineRule="auto"/>
        <w:ind w:left="1276" w:hanging="425"/>
        <w:contextualSpacing/>
        <w:jc w:val="both"/>
        <w:rPr>
          <w:b/>
          <w:bCs/>
          <w:i/>
          <w:iCs/>
          <w:lang w:eastAsia="en-US"/>
        </w:rPr>
      </w:pPr>
      <w:r w:rsidRPr="00106A2A">
        <w:rPr>
          <w:bCs/>
          <w:iCs/>
          <w:lang w:eastAsia="en-US"/>
        </w:rPr>
        <w:t></w:t>
      </w:r>
      <w:r w:rsidRPr="00106A2A">
        <w:rPr>
          <w:bCs/>
          <w:iCs/>
          <w:lang w:eastAsia="en-US"/>
        </w:rPr>
        <w:tab/>
      </w:r>
      <w:r w:rsidRPr="00106A2A">
        <w:rPr>
          <w:rFonts w:eastAsia="Calibri"/>
          <w:b/>
          <w:i/>
          <w:lang w:eastAsia="en-US"/>
        </w:rPr>
        <w:t>Примерния подробен график, в рамките на който се очаква да бъдат направени тези разходи;</w:t>
      </w:r>
    </w:p>
    <w:p w:rsidR="00106A2A" w:rsidRPr="00106A2A" w:rsidRDefault="00106A2A" w:rsidP="00106A2A">
      <w:pPr>
        <w:autoSpaceDE w:val="0"/>
        <w:autoSpaceDN w:val="0"/>
        <w:spacing w:before="180" w:line="360" w:lineRule="auto"/>
        <w:ind w:left="1276" w:hanging="425"/>
        <w:contextualSpacing/>
        <w:jc w:val="both"/>
        <w:rPr>
          <w:b/>
          <w:bCs/>
          <w:i/>
          <w:iCs/>
          <w:lang w:eastAsia="en-US"/>
        </w:rPr>
      </w:pPr>
      <w:r w:rsidRPr="00106A2A">
        <w:rPr>
          <w:bCs/>
          <w:iCs/>
          <w:lang w:eastAsia="en-US"/>
        </w:rPr>
        <w:t></w:t>
      </w:r>
      <w:r w:rsidRPr="00106A2A">
        <w:rPr>
          <w:bCs/>
          <w:iCs/>
          <w:lang w:eastAsia="en-US"/>
        </w:rPr>
        <w:tab/>
      </w:r>
      <w:r w:rsidRPr="00106A2A">
        <w:rPr>
          <w:rFonts w:eastAsia="Calibri"/>
          <w:b/>
          <w:i/>
          <w:lang w:eastAsia="en-US"/>
        </w:rPr>
        <w:t>Информация за националния принос към общите разходи за мерките и инвестициите;</w:t>
      </w:r>
    </w:p>
    <w:p w:rsidR="00106A2A" w:rsidRPr="00106A2A" w:rsidRDefault="00106A2A" w:rsidP="00106A2A">
      <w:pPr>
        <w:autoSpaceDE w:val="0"/>
        <w:autoSpaceDN w:val="0"/>
        <w:spacing w:before="180" w:line="360" w:lineRule="auto"/>
        <w:ind w:left="1276" w:hanging="425"/>
        <w:contextualSpacing/>
        <w:jc w:val="both"/>
        <w:rPr>
          <w:b/>
          <w:bCs/>
          <w:i/>
          <w:iCs/>
          <w:lang w:eastAsia="en-US"/>
        </w:rPr>
      </w:pPr>
      <w:r w:rsidRPr="00106A2A">
        <w:rPr>
          <w:bCs/>
          <w:iCs/>
          <w:lang w:eastAsia="en-US"/>
        </w:rPr>
        <w:t></w:t>
      </w:r>
      <w:r w:rsidRPr="00106A2A">
        <w:rPr>
          <w:bCs/>
          <w:iCs/>
          <w:lang w:eastAsia="en-US"/>
        </w:rPr>
        <w:tab/>
      </w:r>
      <w:r w:rsidRPr="00106A2A">
        <w:rPr>
          <w:rFonts w:eastAsia="Calibri"/>
          <w:b/>
          <w:i/>
          <w:lang w:eastAsia="en-US"/>
        </w:rPr>
        <w:t>Информация за това какво финансиране от други инструменти на Съюза се предвижда или би могло да се предвиди във връзка със същия компонент;</w:t>
      </w:r>
    </w:p>
    <w:p w:rsidR="00106A2A" w:rsidRPr="00106A2A" w:rsidRDefault="00106A2A" w:rsidP="00106A2A">
      <w:pPr>
        <w:autoSpaceDE w:val="0"/>
        <w:autoSpaceDN w:val="0"/>
        <w:spacing w:before="180" w:line="360" w:lineRule="auto"/>
        <w:ind w:left="1276" w:hanging="425"/>
        <w:contextualSpacing/>
        <w:jc w:val="both"/>
        <w:rPr>
          <w:b/>
          <w:bCs/>
          <w:i/>
          <w:iCs/>
          <w:lang w:eastAsia="en-US"/>
        </w:rPr>
      </w:pPr>
      <w:r w:rsidRPr="00106A2A">
        <w:rPr>
          <w:bCs/>
          <w:iCs/>
          <w:lang w:eastAsia="en-US"/>
        </w:rPr>
        <w:t></w:t>
      </w:r>
      <w:r w:rsidRPr="00106A2A">
        <w:rPr>
          <w:bCs/>
          <w:iCs/>
          <w:lang w:eastAsia="en-US"/>
        </w:rPr>
        <w:tab/>
      </w:r>
      <w:r w:rsidRPr="00106A2A">
        <w:rPr>
          <w:rFonts w:eastAsia="Calibri"/>
          <w:b/>
          <w:i/>
          <w:lang w:eastAsia="en-US"/>
        </w:rPr>
        <w:t>Информация относно предвижданото финансиране от частни източници и целевото равнище на ливъридж, ако е приложимо;</w:t>
      </w:r>
    </w:p>
    <w:p w:rsidR="00106A2A" w:rsidRPr="00106A2A" w:rsidRDefault="00106A2A" w:rsidP="00106A2A">
      <w:pPr>
        <w:autoSpaceDE w:val="0"/>
        <w:autoSpaceDN w:val="0"/>
        <w:spacing w:before="180" w:line="360" w:lineRule="auto"/>
        <w:ind w:left="1276" w:hanging="425"/>
        <w:contextualSpacing/>
        <w:jc w:val="both"/>
        <w:rPr>
          <w:b/>
          <w:bCs/>
          <w:i/>
          <w:iCs/>
          <w:lang w:eastAsia="en-US"/>
        </w:rPr>
      </w:pPr>
      <w:r w:rsidRPr="00106A2A">
        <w:rPr>
          <w:bCs/>
          <w:iCs/>
          <w:lang w:eastAsia="en-US"/>
        </w:rPr>
        <w:t></w:t>
      </w:r>
      <w:r w:rsidRPr="00106A2A">
        <w:rPr>
          <w:bCs/>
          <w:iCs/>
          <w:lang w:eastAsia="en-US"/>
        </w:rPr>
        <w:tab/>
      </w:r>
      <w:r w:rsidRPr="00106A2A">
        <w:rPr>
          <w:rFonts w:eastAsia="Calibri"/>
          <w:b/>
          <w:i/>
          <w:lang w:eastAsia="en-US"/>
        </w:rPr>
        <w:t>Обосновка на надеждността и основателността на прогнозните разходи, когато е необходимо, като се вземат предвид националните особености.</w:t>
      </w:r>
    </w:p>
    <w:p w:rsidR="00106A2A" w:rsidRPr="00106A2A" w:rsidRDefault="00106A2A" w:rsidP="00106A2A">
      <w:pPr>
        <w:widowControl/>
        <w:spacing w:before="120" w:after="120" w:line="360" w:lineRule="auto"/>
        <w:rPr>
          <w:b/>
          <w:bCs/>
          <w:i/>
          <w:iCs/>
          <w:lang w:eastAsia="en-US"/>
        </w:rPr>
      </w:pPr>
      <w:r w:rsidRPr="00106A2A">
        <w:rPr>
          <w:rFonts w:eastAsia="Calibri"/>
          <w:lang w:eastAsia="en-US"/>
        </w:rPr>
        <w:br w:type="page"/>
      </w:r>
    </w:p>
    <w:p w:rsidR="00106A2A" w:rsidRPr="00106A2A" w:rsidRDefault="00106A2A" w:rsidP="00106A2A">
      <w:pPr>
        <w:keepNext/>
        <w:keepLines/>
        <w:widowControl/>
        <w:spacing w:before="240" w:after="160" w:line="360" w:lineRule="auto"/>
        <w:ind w:left="720" w:hanging="11"/>
        <w:jc w:val="both"/>
        <w:outlineLvl w:val="2"/>
        <w:rPr>
          <w:b/>
          <w:bCs/>
          <w:i/>
          <w:iCs/>
          <w:u w:val="single"/>
          <w:lang w:eastAsia="en-US"/>
        </w:rPr>
      </w:pPr>
      <w:bookmarkStart w:id="13" w:name="_Toc128649683"/>
      <w:r w:rsidRPr="00106A2A">
        <w:rPr>
          <w:b/>
          <w:bCs/>
          <w:i/>
          <w:iCs/>
          <w:lang w:eastAsia="en-US"/>
        </w:rPr>
        <w:t>(vi)</w:t>
      </w:r>
      <w:r w:rsidRPr="00106A2A">
        <w:rPr>
          <w:b/>
          <w:bCs/>
          <w:i/>
          <w:iCs/>
          <w:lang w:eastAsia="en-US"/>
        </w:rPr>
        <w:tab/>
      </w:r>
      <w:r w:rsidRPr="00106A2A">
        <w:rPr>
          <w:rFonts w:eastAsia="Calibri"/>
          <w:b/>
          <w:i/>
          <w:u w:val="single"/>
          <w:lang w:eastAsia="en-US"/>
        </w:rPr>
        <w:t>Обосновка за субекти бенефициери, различни от уязвими домакинства, уязвими микропредприятия и уязвими ползватели на транспорт (ако е приложимо)</w:t>
      </w:r>
      <w:bookmarkEnd w:id="13"/>
    </w:p>
    <w:p w:rsidR="00106A2A" w:rsidRPr="00106A2A" w:rsidRDefault="00106A2A" w:rsidP="00106A2A">
      <w:pPr>
        <w:widowControl/>
        <w:spacing w:before="120" w:after="160" w:line="360" w:lineRule="auto"/>
        <w:rPr>
          <w:rFonts w:eastAsia="Calibri"/>
          <w:b/>
          <w:bCs/>
          <w:i/>
          <w:iCs/>
          <w:lang w:eastAsia="en-US"/>
        </w:rPr>
      </w:pPr>
      <w:r w:rsidRPr="00106A2A">
        <w:rPr>
          <w:rFonts w:eastAsia="Calibri"/>
          <w:b/>
          <w:i/>
          <w:lang w:eastAsia="en-US"/>
        </w:rPr>
        <w:t>Ако подпомагането от Фонда се предоставя чрез публични или частни субекти, различни от уязвими домакинства, уязвими микропредприятия или уязвими ползватели на транспорт, обяснение на мерките или инвестициите, които тези субекти ще въведат и как в крайна сметка тези мерки и инвестиции ще бъдат в полза на уязвимите домакинства, уязвимите микропредприятия и уязвимите ползватели на транспорт;</w:t>
      </w:r>
    </w:p>
    <w:p w:rsidR="00106A2A" w:rsidRPr="00106A2A" w:rsidRDefault="00106A2A" w:rsidP="00106A2A">
      <w:pPr>
        <w:widowControl/>
        <w:spacing w:before="120" w:after="160" w:line="360" w:lineRule="auto"/>
        <w:rPr>
          <w:rFonts w:eastAsia="Calibri"/>
          <w:b/>
          <w:bCs/>
          <w:i/>
          <w:iCs/>
          <w:lang w:eastAsia="en-US"/>
        </w:rPr>
      </w:pPr>
      <w:r w:rsidRPr="00106A2A">
        <w:rPr>
          <w:rFonts w:eastAsia="Calibri"/>
          <w:b/>
          <w:i/>
          <w:lang w:eastAsia="en-US"/>
        </w:rPr>
        <w:t>Ако подпомагането от Фонда се предоставя чрез финансови посредници, описание на мерките, които държавата членка възнамерява да приеме, за да гарантира, че тези финансови посредници прехвърлят цялата полза на крайните получатели.</w:t>
      </w:r>
    </w:p>
    <w:p w:rsidR="00106A2A" w:rsidRPr="00106A2A" w:rsidRDefault="00106A2A" w:rsidP="00106A2A">
      <w:pPr>
        <w:keepNext/>
        <w:keepLines/>
        <w:widowControl/>
        <w:spacing w:before="240" w:after="160" w:line="259" w:lineRule="auto"/>
        <w:ind w:left="720" w:hanging="11"/>
        <w:jc w:val="both"/>
        <w:outlineLvl w:val="2"/>
        <w:rPr>
          <w:b/>
          <w:bCs/>
          <w:i/>
          <w:iCs/>
          <w:u w:val="single"/>
          <w:lang w:eastAsia="en-US"/>
        </w:rPr>
      </w:pPr>
      <w:bookmarkStart w:id="14" w:name="_Toc128649684"/>
      <w:r w:rsidRPr="00106A2A">
        <w:rPr>
          <w:b/>
          <w:bCs/>
          <w:i/>
          <w:iCs/>
          <w:lang w:eastAsia="en-US"/>
        </w:rPr>
        <w:t>(vii)</w:t>
      </w:r>
      <w:r w:rsidRPr="00106A2A">
        <w:rPr>
          <w:b/>
          <w:bCs/>
          <w:i/>
          <w:iCs/>
          <w:lang w:eastAsia="en-US"/>
        </w:rPr>
        <w:tab/>
      </w:r>
      <w:r w:rsidRPr="00106A2A">
        <w:rPr>
          <w:rFonts w:eastAsia="Calibri"/>
          <w:b/>
          <w:i/>
          <w:u w:val="single"/>
          <w:lang w:eastAsia="en-US"/>
        </w:rPr>
        <w:t>Прогнозни общи разходи за компонента</w:t>
      </w:r>
      <w:bookmarkEnd w:id="14"/>
    </w:p>
    <w:p w:rsidR="00106A2A" w:rsidRPr="00106A2A" w:rsidRDefault="00106A2A" w:rsidP="00106A2A">
      <w:pPr>
        <w:widowControl/>
        <w:spacing w:before="120" w:after="160" w:line="360" w:lineRule="auto"/>
        <w:jc w:val="both"/>
        <w:rPr>
          <w:rFonts w:eastAsia="Calibri"/>
          <w:b/>
          <w:bCs/>
          <w:i/>
          <w:iCs/>
          <w:lang w:eastAsia="en-US"/>
        </w:rPr>
      </w:pPr>
      <w:r w:rsidRPr="00106A2A">
        <w:rPr>
          <w:rFonts w:eastAsia="Calibri"/>
          <w:b/>
          <w:i/>
          <w:lang w:eastAsia="en-US"/>
        </w:rPr>
        <w:t>Попълване на таблицата за прогнозните разходи за мерките и инвестициите, включени в компонента, в съответствие с образеца, предоставен по-долу:</w:t>
      </w:r>
    </w:p>
    <w:tbl>
      <w:tblPr>
        <w:tblStyle w:val="TableGrid1"/>
        <w:tblW w:w="11109" w:type="dxa"/>
        <w:tblInd w:w="-665" w:type="dxa"/>
        <w:tblLook w:val="04A0" w:firstRow="1" w:lastRow="0" w:firstColumn="1" w:lastColumn="0" w:noHBand="0" w:noVBand="1"/>
      </w:tblPr>
      <w:tblGrid>
        <w:gridCol w:w="1115"/>
        <w:gridCol w:w="1582"/>
        <w:gridCol w:w="1015"/>
        <w:gridCol w:w="925"/>
        <w:gridCol w:w="1488"/>
        <w:gridCol w:w="846"/>
        <w:gridCol w:w="709"/>
        <w:gridCol w:w="709"/>
        <w:gridCol w:w="703"/>
        <w:gridCol w:w="731"/>
        <w:gridCol w:w="709"/>
        <w:gridCol w:w="906"/>
      </w:tblGrid>
      <w:tr w:rsidR="00106A2A" w:rsidRPr="00106A2A" w:rsidTr="006919B6">
        <w:trPr>
          <w:trHeight w:val="804"/>
        </w:trPr>
        <w:tc>
          <w:tcPr>
            <w:tcW w:w="897" w:type="dxa"/>
            <w:vMerge w:val="restart"/>
            <w:hideMark/>
          </w:tcPr>
          <w:p w:rsidR="00106A2A" w:rsidRPr="00106A2A" w:rsidRDefault="00106A2A" w:rsidP="00106A2A">
            <w:pPr>
              <w:widowControl/>
              <w:rPr>
                <w:b/>
                <w:bCs/>
                <w:i/>
                <w:iCs/>
              </w:rPr>
            </w:pPr>
            <w:r w:rsidRPr="00106A2A">
              <w:rPr>
                <w:b/>
                <w:i/>
              </w:rPr>
              <w:t>Пореден номер</w:t>
            </w:r>
          </w:p>
        </w:tc>
        <w:tc>
          <w:tcPr>
            <w:tcW w:w="1488" w:type="dxa"/>
            <w:vMerge w:val="restart"/>
            <w:hideMark/>
          </w:tcPr>
          <w:p w:rsidR="00106A2A" w:rsidRPr="00106A2A" w:rsidRDefault="00106A2A" w:rsidP="00106A2A">
            <w:pPr>
              <w:widowControl/>
              <w:rPr>
                <w:b/>
                <w:bCs/>
                <w:i/>
                <w:iCs/>
              </w:rPr>
            </w:pPr>
            <w:r w:rsidRPr="00106A2A">
              <w:rPr>
                <w:b/>
                <w:i/>
              </w:rPr>
              <w:t>Свързана мярка (мярка или инвестиция)</w:t>
            </w:r>
          </w:p>
        </w:tc>
        <w:tc>
          <w:tcPr>
            <w:tcW w:w="1940" w:type="dxa"/>
            <w:gridSpan w:val="2"/>
            <w:vMerge w:val="restart"/>
            <w:hideMark/>
          </w:tcPr>
          <w:p w:rsidR="00106A2A" w:rsidRPr="00106A2A" w:rsidRDefault="00106A2A" w:rsidP="00106A2A">
            <w:pPr>
              <w:widowControl/>
              <w:rPr>
                <w:b/>
                <w:bCs/>
                <w:i/>
                <w:iCs/>
              </w:rPr>
            </w:pPr>
            <w:r w:rsidRPr="00106A2A">
              <w:rPr>
                <w:b/>
                <w:i/>
              </w:rPr>
              <w:t>Относим период</w:t>
            </w:r>
          </w:p>
        </w:tc>
        <w:tc>
          <w:tcPr>
            <w:tcW w:w="6784" w:type="dxa"/>
            <w:gridSpan w:val="8"/>
            <w:hideMark/>
          </w:tcPr>
          <w:p w:rsidR="00106A2A" w:rsidRPr="00106A2A" w:rsidRDefault="00106A2A" w:rsidP="00106A2A">
            <w:pPr>
              <w:widowControl/>
              <w:rPr>
                <w:b/>
                <w:bCs/>
                <w:i/>
                <w:iCs/>
              </w:rPr>
            </w:pPr>
            <w:r w:rsidRPr="00106A2A">
              <w:rPr>
                <w:b/>
                <w:i/>
              </w:rPr>
              <w:t>Прогнозни разходи, за които се иска финансиране от Фонда</w:t>
            </w:r>
          </w:p>
        </w:tc>
      </w:tr>
      <w:tr w:rsidR="00106A2A" w:rsidRPr="00106A2A" w:rsidTr="006919B6">
        <w:trPr>
          <w:trHeight w:val="312"/>
        </w:trPr>
        <w:tc>
          <w:tcPr>
            <w:tcW w:w="897" w:type="dxa"/>
            <w:vMerge/>
            <w:hideMark/>
          </w:tcPr>
          <w:p w:rsidR="00106A2A" w:rsidRPr="00106A2A" w:rsidRDefault="00106A2A" w:rsidP="00106A2A">
            <w:pPr>
              <w:widowControl/>
              <w:rPr>
                <w:b/>
                <w:bCs/>
                <w:i/>
                <w:iCs/>
              </w:rPr>
            </w:pPr>
          </w:p>
        </w:tc>
        <w:tc>
          <w:tcPr>
            <w:tcW w:w="1488" w:type="dxa"/>
            <w:vMerge/>
            <w:hideMark/>
          </w:tcPr>
          <w:p w:rsidR="00106A2A" w:rsidRPr="00106A2A" w:rsidRDefault="00106A2A" w:rsidP="00106A2A">
            <w:pPr>
              <w:widowControl/>
              <w:rPr>
                <w:b/>
                <w:bCs/>
                <w:i/>
                <w:iCs/>
              </w:rPr>
            </w:pPr>
          </w:p>
        </w:tc>
        <w:tc>
          <w:tcPr>
            <w:tcW w:w="1940" w:type="dxa"/>
            <w:gridSpan w:val="2"/>
            <w:vMerge/>
            <w:hideMark/>
          </w:tcPr>
          <w:p w:rsidR="00106A2A" w:rsidRPr="00106A2A" w:rsidRDefault="00106A2A" w:rsidP="00106A2A">
            <w:pPr>
              <w:widowControl/>
              <w:rPr>
                <w:b/>
                <w:bCs/>
                <w:i/>
                <w:iCs/>
              </w:rPr>
            </w:pPr>
          </w:p>
        </w:tc>
        <w:tc>
          <w:tcPr>
            <w:tcW w:w="1488" w:type="dxa"/>
            <w:hideMark/>
          </w:tcPr>
          <w:p w:rsidR="00106A2A" w:rsidRPr="00106A2A" w:rsidRDefault="00106A2A" w:rsidP="00106A2A">
            <w:pPr>
              <w:widowControl/>
              <w:rPr>
                <w:b/>
                <w:bCs/>
                <w:i/>
                <w:iCs/>
              </w:rPr>
            </w:pPr>
            <w:r w:rsidRPr="00106A2A">
              <w:rPr>
                <w:b/>
                <w:i/>
              </w:rPr>
              <w:t>Обща поискана сума</w:t>
            </w:r>
          </w:p>
        </w:tc>
        <w:tc>
          <w:tcPr>
            <w:tcW w:w="5296" w:type="dxa"/>
            <w:gridSpan w:val="7"/>
            <w:hideMark/>
          </w:tcPr>
          <w:p w:rsidR="00106A2A" w:rsidRPr="00106A2A" w:rsidRDefault="00106A2A" w:rsidP="00106A2A">
            <w:pPr>
              <w:widowControl/>
              <w:rPr>
                <w:b/>
                <w:bCs/>
                <w:i/>
                <w:iCs/>
              </w:rPr>
            </w:pPr>
            <w:r w:rsidRPr="00106A2A">
              <w:rPr>
                <w:b/>
                <w:i/>
              </w:rPr>
              <w:t>Разбивка по години, ако е налице:</w:t>
            </w:r>
          </w:p>
        </w:tc>
      </w:tr>
      <w:tr w:rsidR="00106A2A" w:rsidRPr="00106A2A" w:rsidTr="006919B6">
        <w:trPr>
          <w:trHeight w:val="798"/>
        </w:trPr>
        <w:tc>
          <w:tcPr>
            <w:tcW w:w="897" w:type="dxa"/>
            <w:vMerge/>
            <w:hideMark/>
          </w:tcPr>
          <w:p w:rsidR="00106A2A" w:rsidRPr="00106A2A" w:rsidRDefault="00106A2A" w:rsidP="00106A2A">
            <w:pPr>
              <w:widowControl/>
              <w:rPr>
                <w:b/>
                <w:bCs/>
                <w:i/>
                <w:iCs/>
              </w:rPr>
            </w:pPr>
          </w:p>
        </w:tc>
        <w:tc>
          <w:tcPr>
            <w:tcW w:w="1488" w:type="dxa"/>
            <w:vMerge/>
            <w:hideMark/>
          </w:tcPr>
          <w:p w:rsidR="00106A2A" w:rsidRPr="00106A2A" w:rsidRDefault="00106A2A" w:rsidP="00106A2A">
            <w:pPr>
              <w:widowControl/>
              <w:rPr>
                <w:b/>
                <w:bCs/>
                <w:i/>
                <w:iCs/>
              </w:rPr>
            </w:pPr>
          </w:p>
        </w:tc>
        <w:tc>
          <w:tcPr>
            <w:tcW w:w="1015" w:type="dxa"/>
            <w:hideMark/>
          </w:tcPr>
          <w:p w:rsidR="00106A2A" w:rsidRPr="00106A2A" w:rsidRDefault="00106A2A" w:rsidP="00106A2A">
            <w:pPr>
              <w:widowControl/>
              <w:rPr>
                <w:b/>
                <w:bCs/>
                <w:i/>
                <w:iCs/>
              </w:rPr>
            </w:pPr>
            <w:r w:rsidRPr="00106A2A">
              <w:rPr>
                <w:b/>
                <w:i/>
              </w:rPr>
              <w:t>От дата:</w:t>
            </w:r>
          </w:p>
        </w:tc>
        <w:tc>
          <w:tcPr>
            <w:tcW w:w="925" w:type="dxa"/>
            <w:hideMark/>
          </w:tcPr>
          <w:p w:rsidR="00106A2A" w:rsidRPr="00106A2A" w:rsidRDefault="00106A2A" w:rsidP="00106A2A">
            <w:pPr>
              <w:widowControl/>
              <w:rPr>
                <w:b/>
                <w:bCs/>
                <w:i/>
                <w:iCs/>
              </w:rPr>
            </w:pPr>
            <w:r w:rsidRPr="00106A2A">
              <w:rPr>
                <w:b/>
                <w:i/>
              </w:rPr>
              <w:t>До дата:</w:t>
            </w:r>
          </w:p>
        </w:tc>
        <w:tc>
          <w:tcPr>
            <w:tcW w:w="1488" w:type="dxa"/>
            <w:hideMark/>
          </w:tcPr>
          <w:p w:rsidR="00106A2A" w:rsidRPr="00106A2A" w:rsidRDefault="00106A2A" w:rsidP="00106A2A">
            <w:pPr>
              <w:widowControl/>
              <w:rPr>
                <w:b/>
                <w:bCs/>
                <w:i/>
                <w:iCs/>
              </w:rPr>
            </w:pPr>
            <w:r w:rsidRPr="00106A2A">
              <w:rPr>
                <w:b/>
                <w:i/>
              </w:rPr>
              <w:t>Сума (млн. EUR)</w:t>
            </w:r>
          </w:p>
          <w:p w:rsidR="00106A2A" w:rsidRPr="00106A2A" w:rsidRDefault="00106A2A" w:rsidP="00106A2A">
            <w:pPr>
              <w:widowControl/>
              <w:rPr>
                <w:b/>
                <w:bCs/>
                <w:i/>
                <w:iCs/>
              </w:rPr>
            </w:pPr>
          </w:p>
        </w:tc>
        <w:tc>
          <w:tcPr>
            <w:tcW w:w="846" w:type="dxa"/>
            <w:hideMark/>
          </w:tcPr>
          <w:p w:rsidR="00106A2A" w:rsidRPr="00106A2A" w:rsidRDefault="00106A2A" w:rsidP="00106A2A">
            <w:pPr>
              <w:widowControl/>
              <w:rPr>
                <w:b/>
                <w:bCs/>
                <w:i/>
                <w:iCs/>
              </w:rPr>
            </w:pPr>
            <w:r w:rsidRPr="00106A2A">
              <w:rPr>
                <w:b/>
                <w:i/>
              </w:rPr>
              <w:t>2026 г.</w:t>
            </w:r>
          </w:p>
        </w:tc>
        <w:tc>
          <w:tcPr>
            <w:tcW w:w="709" w:type="dxa"/>
            <w:hideMark/>
          </w:tcPr>
          <w:p w:rsidR="00106A2A" w:rsidRPr="00106A2A" w:rsidRDefault="00106A2A" w:rsidP="00106A2A">
            <w:pPr>
              <w:widowControl/>
              <w:rPr>
                <w:b/>
                <w:bCs/>
                <w:i/>
                <w:iCs/>
              </w:rPr>
            </w:pPr>
            <w:r w:rsidRPr="00106A2A">
              <w:rPr>
                <w:b/>
                <w:i/>
              </w:rPr>
              <w:t>2027 г.</w:t>
            </w:r>
          </w:p>
        </w:tc>
        <w:tc>
          <w:tcPr>
            <w:tcW w:w="709" w:type="dxa"/>
            <w:hideMark/>
          </w:tcPr>
          <w:p w:rsidR="00106A2A" w:rsidRPr="00106A2A" w:rsidRDefault="00106A2A" w:rsidP="00106A2A">
            <w:pPr>
              <w:widowControl/>
              <w:rPr>
                <w:b/>
                <w:bCs/>
                <w:i/>
                <w:iCs/>
              </w:rPr>
            </w:pPr>
            <w:r w:rsidRPr="00106A2A">
              <w:rPr>
                <w:b/>
                <w:i/>
              </w:rPr>
              <w:t>2028 г.</w:t>
            </w:r>
          </w:p>
        </w:tc>
        <w:tc>
          <w:tcPr>
            <w:tcW w:w="686" w:type="dxa"/>
            <w:hideMark/>
          </w:tcPr>
          <w:p w:rsidR="00106A2A" w:rsidRPr="00106A2A" w:rsidRDefault="00106A2A" w:rsidP="00106A2A">
            <w:pPr>
              <w:widowControl/>
              <w:rPr>
                <w:b/>
                <w:bCs/>
                <w:i/>
                <w:iCs/>
              </w:rPr>
            </w:pPr>
            <w:r w:rsidRPr="00106A2A">
              <w:rPr>
                <w:b/>
                <w:i/>
              </w:rPr>
              <w:t>2029 г.</w:t>
            </w:r>
          </w:p>
        </w:tc>
        <w:tc>
          <w:tcPr>
            <w:tcW w:w="731" w:type="dxa"/>
            <w:hideMark/>
          </w:tcPr>
          <w:p w:rsidR="00106A2A" w:rsidRPr="00106A2A" w:rsidRDefault="00106A2A" w:rsidP="00106A2A">
            <w:pPr>
              <w:widowControl/>
              <w:rPr>
                <w:b/>
                <w:bCs/>
                <w:i/>
                <w:iCs/>
              </w:rPr>
            </w:pPr>
            <w:r w:rsidRPr="00106A2A">
              <w:rPr>
                <w:b/>
                <w:i/>
              </w:rPr>
              <w:t>2030 г.</w:t>
            </w:r>
          </w:p>
        </w:tc>
        <w:tc>
          <w:tcPr>
            <w:tcW w:w="709" w:type="dxa"/>
            <w:hideMark/>
          </w:tcPr>
          <w:p w:rsidR="00106A2A" w:rsidRPr="00106A2A" w:rsidRDefault="00106A2A" w:rsidP="00106A2A">
            <w:pPr>
              <w:widowControl/>
              <w:rPr>
                <w:b/>
                <w:bCs/>
                <w:i/>
                <w:iCs/>
              </w:rPr>
            </w:pPr>
            <w:r w:rsidRPr="00106A2A">
              <w:rPr>
                <w:b/>
                <w:i/>
              </w:rPr>
              <w:t>2031 г.</w:t>
            </w:r>
          </w:p>
        </w:tc>
        <w:tc>
          <w:tcPr>
            <w:tcW w:w="906" w:type="dxa"/>
            <w:hideMark/>
          </w:tcPr>
          <w:p w:rsidR="00106A2A" w:rsidRPr="00106A2A" w:rsidRDefault="00106A2A" w:rsidP="00106A2A">
            <w:pPr>
              <w:widowControl/>
              <w:rPr>
                <w:b/>
                <w:bCs/>
                <w:i/>
                <w:iCs/>
              </w:rPr>
            </w:pPr>
            <w:r w:rsidRPr="00106A2A">
              <w:rPr>
                <w:b/>
                <w:i/>
              </w:rPr>
              <w:t>2032 г.</w:t>
            </w:r>
          </w:p>
        </w:tc>
      </w:tr>
      <w:tr w:rsidR="00106A2A" w:rsidRPr="00106A2A" w:rsidTr="006919B6">
        <w:trPr>
          <w:trHeight w:val="300"/>
        </w:trPr>
        <w:tc>
          <w:tcPr>
            <w:tcW w:w="897" w:type="dxa"/>
            <w:noWrap/>
            <w:hideMark/>
          </w:tcPr>
          <w:p w:rsidR="00106A2A" w:rsidRPr="00106A2A" w:rsidRDefault="00106A2A" w:rsidP="00106A2A">
            <w:pPr>
              <w:widowControl/>
              <w:rPr>
                <w:b/>
                <w:bCs/>
                <w:i/>
                <w:iCs/>
              </w:rPr>
            </w:pPr>
          </w:p>
        </w:tc>
        <w:tc>
          <w:tcPr>
            <w:tcW w:w="1488" w:type="dxa"/>
            <w:noWrap/>
            <w:hideMark/>
          </w:tcPr>
          <w:p w:rsidR="00106A2A" w:rsidRPr="00106A2A" w:rsidRDefault="00106A2A" w:rsidP="00106A2A">
            <w:pPr>
              <w:widowControl/>
              <w:rPr>
                <w:b/>
                <w:bCs/>
                <w:i/>
                <w:iCs/>
              </w:rPr>
            </w:pPr>
          </w:p>
        </w:tc>
        <w:tc>
          <w:tcPr>
            <w:tcW w:w="1015" w:type="dxa"/>
            <w:noWrap/>
            <w:hideMark/>
          </w:tcPr>
          <w:p w:rsidR="00106A2A" w:rsidRPr="00106A2A" w:rsidRDefault="00106A2A" w:rsidP="00106A2A">
            <w:pPr>
              <w:widowControl/>
              <w:rPr>
                <w:b/>
                <w:bCs/>
                <w:i/>
                <w:iCs/>
              </w:rPr>
            </w:pPr>
          </w:p>
        </w:tc>
        <w:tc>
          <w:tcPr>
            <w:tcW w:w="925" w:type="dxa"/>
            <w:noWrap/>
            <w:hideMark/>
          </w:tcPr>
          <w:p w:rsidR="00106A2A" w:rsidRPr="00106A2A" w:rsidRDefault="00106A2A" w:rsidP="00106A2A">
            <w:pPr>
              <w:widowControl/>
              <w:rPr>
                <w:b/>
                <w:bCs/>
                <w:i/>
                <w:iCs/>
              </w:rPr>
            </w:pPr>
          </w:p>
        </w:tc>
        <w:tc>
          <w:tcPr>
            <w:tcW w:w="1488" w:type="dxa"/>
            <w:noWrap/>
            <w:hideMark/>
          </w:tcPr>
          <w:p w:rsidR="00106A2A" w:rsidRPr="00106A2A" w:rsidRDefault="00106A2A" w:rsidP="00106A2A">
            <w:pPr>
              <w:widowControl/>
              <w:rPr>
                <w:b/>
                <w:bCs/>
                <w:i/>
                <w:iCs/>
              </w:rPr>
            </w:pPr>
          </w:p>
        </w:tc>
        <w:tc>
          <w:tcPr>
            <w:tcW w:w="846" w:type="dxa"/>
            <w:noWrap/>
            <w:hideMark/>
          </w:tcPr>
          <w:p w:rsidR="00106A2A" w:rsidRPr="00106A2A" w:rsidRDefault="00106A2A" w:rsidP="00106A2A">
            <w:pPr>
              <w:widowControl/>
              <w:rPr>
                <w:b/>
                <w:bCs/>
                <w:i/>
                <w:iCs/>
              </w:rPr>
            </w:pPr>
          </w:p>
        </w:tc>
        <w:tc>
          <w:tcPr>
            <w:tcW w:w="709" w:type="dxa"/>
            <w:noWrap/>
            <w:hideMark/>
          </w:tcPr>
          <w:p w:rsidR="00106A2A" w:rsidRPr="00106A2A" w:rsidRDefault="00106A2A" w:rsidP="00106A2A">
            <w:pPr>
              <w:widowControl/>
              <w:rPr>
                <w:b/>
                <w:bCs/>
                <w:i/>
                <w:iCs/>
              </w:rPr>
            </w:pPr>
          </w:p>
        </w:tc>
        <w:tc>
          <w:tcPr>
            <w:tcW w:w="709" w:type="dxa"/>
            <w:noWrap/>
            <w:hideMark/>
          </w:tcPr>
          <w:p w:rsidR="00106A2A" w:rsidRPr="00106A2A" w:rsidRDefault="00106A2A" w:rsidP="00106A2A">
            <w:pPr>
              <w:widowControl/>
              <w:rPr>
                <w:b/>
                <w:bCs/>
                <w:i/>
                <w:iCs/>
              </w:rPr>
            </w:pPr>
          </w:p>
        </w:tc>
        <w:tc>
          <w:tcPr>
            <w:tcW w:w="686" w:type="dxa"/>
            <w:noWrap/>
            <w:hideMark/>
          </w:tcPr>
          <w:p w:rsidR="00106A2A" w:rsidRPr="00106A2A" w:rsidRDefault="00106A2A" w:rsidP="00106A2A">
            <w:pPr>
              <w:widowControl/>
              <w:rPr>
                <w:b/>
                <w:bCs/>
                <w:i/>
                <w:iCs/>
              </w:rPr>
            </w:pPr>
          </w:p>
        </w:tc>
        <w:tc>
          <w:tcPr>
            <w:tcW w:w="731" w:type="dxa"/>
            <w:noWrap/>
            <w:hideMark/>
          </w:tcPr>
          <w:p w:rsidR="00106A2A" w:rsidRPr="00106A2A" w:rsidRDefault="00106A2A" w:rsidP="00106A2A">
            <w:pPr>
              <w:widowControl/>
              <w:rPr>
                <w:b/>
                <w:bCs/>
                <w:i/>
                <w:iCs/>
              </w:rPr>
            </w:pPr>
          </w:p>
        </w:tc>
        <w:tc>
          <w:tcPr>
            <w:tcW w:w="709" w:type="dxa"/>
            <w:noWrap/>
            <w:hideMark/>
          </w:tcPr>
          <w:p w:rsidR="00106A2A" w:rsidRPr="00106A2A" w:rsidRDefault="00106A2A" w:rsidP="00106A2A">
            <w:pPr>
              <w:widowControl/>
              <w:rPr>
                <w:b/>
                <w:bCs/>
                <w:i/>
                <w:iCs/>
              </w:rPr>
            </w:pPr>
          </w:p>
        </w:tc>
        <w:tc>
          <w:tcPr>
            <w:tcW w:w="906" w:type="dxa"/>
            <w:noWrap/>
            <w:hideMark/>
          </w:tcPr>
          <w:p w:rsidR="00106A2A" w:rsidRPr="00106A2A" w:rsidRDefault="00106A2A" w:rsidP="00106A2A">
            <w:pPr>
              <w:widowControl/>
              <w:rPr>
                <w:b/>
                <w:bCs/>
                <w:i/>
                <w:iCs/>
              </w:rPr>
            </w:pPr>
          </w:p>
        </w:tc>
      </w:tr>
    </w:tbl>
    <w:p w:rsidR="00106A2A" w:rsidRPr="00106A2A" w:rsidRDefault="00106A2A" w:rsidP="00106A2A">
      <w:pPr>
        <w:widowControl/>
        <w:spacing w:before="120" w:after="160" w:line="259" w:lineRule="auto"/>
        <w:jc w:val="both"/>
        <w:rPr>
          <w:rFonts w:eastAsia="Calibri"/>
          <w:b/>
          <w:bCs/>
          <w:i/>
          <w:iCs/>
          <w:lang w:eastAsia="en-US" w:bidi="en-GB"/>
        </w:rPr>
      </w:pPr>
    </w:p>
    <w:p w:rsidR="00106A2A" w:rsidRPr="00106A2A" w:rsidRDefault="00106A2A" w:rsidP="00106A2A">
      <w:pPr>
        <w:widowControl/>
        <w:spacing w:before="120" w:after="120" w:line="360" w:lineRule="auto"/>
        <w:rPr>
          <w:rFonts w:eastAsia="Calibri"/>
          <w:b/>
          <w:bCs/>
          <w:i/>
          <w:iCs/>
          <w:lang w:eastAsia="en-US"/>
        </w:rPr>
      </w:pPr>
      <w:r w:rsidRPr="00106A2A">
        <w:rPr>
          <w:rFonts w:eastAsia="Calibri"/>
          <w:lang w:eastAsia="en-US"/>
        </w:rPr>
        <w:br w:type="page"/>
      </w:r>
    </w:p>
    <w:p w:rsidR="00106A2A" w:rsidRPr="00106A2A" w:rsidRDefault="00106A2A" w:rsidP="00106A2A">
      <w:pPr>
        <w:keepNext/>
        <w:keepLines/>
        <w:widowControl/>
        <w:spacing w:before="240" w:after="160" w:line="259" w:lineRule="auto"/>
        <w:ind w:left="720" w:hanging="11"/>
        <w:jc w:val="both"/>
        <w:outlineLvl w:val="2"/>
        <w:rPr>
          <w:b/>
          <w:bCs/>
          <w:i/>
          <w:iCs/>
          <w:u w:val="single"/>
          <w:lang w:eastAsia="en-US"/>
        </w:rPr>
      </w:pPr>
      <w:bookmarkStart w:id="15" w:name="_Toc128649685"/>
      <w:r w:rsidRPr="00106A2A">
        <w:rPr>
          <w:b/>
          <w:bCs/>
          <w:i/>
          <w:iCs/>
          <w:lang w:eastAsia="en-US"/>
        </w:rPr>
        <w:t>(viii)</w:t>
      </w:r>
      <w:r w:rsidRPr="00106A2A">
        <w:rPr>
          <w:b/>
          <w:bCs/>
          <w:i/>
          <w:iCs/>
          <w:lang w:eastAsia="en-US"/>
        </w:rPr>
        <w:tab/>
      </w:r>
      <w:r w:rsidRPr="00106A2A">
        <w:rPr>
          <w:rFonts w:eastAsia="Calibri"/>
          <w:b/>
          <w:i/>
          <w:u w:val="single"/>
          <w:lang w:eastAsia="en-US"/>
        </w:rPr>
        <w:t>Сценарий в случай на по-късно задействане на системата за търговия с емисии</w:t>
      </w:r>
      <w:bookmarkEnd w:id="15"/>
    </w:p>
    <w:p w:rsidR="00106A2A" w:rsidRPr="00106A2A" w:rsidRDefault="00106A2A" w:rsidP="00106A2A">
      <w:pPr>
        <w:widowControl/>
        <w:spacing w:before="120" w:after="160" w:line="360" w:lineRule="auto"/>
        <w:rPr>
          <w:rFonts w:eastAsia="Calibri"/>
          <w:b/>
          <w:bCs/>
          <w:i/>
          <w:iCs/>
          <w:lang w:eastAsia="en-US"/>
        </w:rPr>
      </w:pPr>
      <w:r w:rsidRPr="00106A2A">
        <w:rPr>
          <w:rFonts w:eastAsia="Calibri"/>
          <w:b/>
          <w:i/>
          <w:lang w:eastAsia="en-US"/>
        </w:rPr>
        <w:t>Описание и количествено определяне на необходимите корекции на мерките, инвестициите, междинните цели, целевите стойности, размера на националния принос и всеки друг имащ отношение елемент от плана, произтичащи от отлагането на задействането на системата за търговия с емисии, установена съгласно глава IVa от Директива 2003/87/ЕО, в съответствие с член 30к от посочената директива.</w:t>
      </w:r>
    </w:p>
    <w:p w:rsidR="00106A2A" w:rsidRPr="00106A2A" w:rsidRDefault="00106A2A" w:rsidP="00106A2A">
      <w:pPr>
        <w:widowControl/>
        <w:spacing w:before="120" w:after="160" w:line="360" w:lineRule="auto"/>
        <w:rPr>
          <w:rFonts w:eastAsia="Calibri"/>
          <w:b/>
          <w:bCs/>
          <w:i/>
          <w:iCs/>
          <w:lang w:eastAsia="en-US"/>
        </w:rPr>
      </w:pPr>
      <w:r w:rsidRPr="00106A2A">
        <w:rPr>
          <w:rFonts w:eastAsia="Calibri"/>
          <w:b/>
          <w:i/>
          <w:lang w:eastAsia="en-US"/>
        </w:rPr>
        <w:t>Отделна версия на резюмето, таблицата с междинните цели, целевите стойности и графика и таблицата с прогнозните разходи.</w:t>
      </w:r>
    </w:p>
    <w:p w:rsidR="00106A2A" w:rsidRPr="00106A2A" w:rsidRDefault="00106A2A" w:rsidP="00106A2A">
      <w:pPr>
        <w:keepNext/>
        <w:keepLines/>
        <w:widowControl/>
        <w:spacing w:before="360" w:after="240" w:line="259" w:lineRule="auto"/>
        <w:ind w:left="578"/>
        <w:jc w:val="both"/>
        <w:outlineLvl w:val="1"/>
        <w:rPr>
          <w:b/>
          <w:bCs/>
          <w:i/>
          <w:iCs/>
          <w:u w:val="single"/>
          <w:lang w:eastAsia="en-US"/>
        </w:rPr>
      </w:pPr>
      <w:bookmarkStart w:id="16" w:name="_Toc128649686"/>
      <w:r w:rsidRPr="00106A2A">
        <w:rPr>
          <w:rFonts w:eastAsia="Calibri"/>
          <w:b/>
          <w:i/>
          <w:lang w:eastAsia="en-US"/>
        </w:rPr>
        <w:t xml:space="preserve">2.2. </w:t>
      </w:r>
      <w:r w:rsidRPr="00106A2A">
        <w:rPr>
          <w:rFonts w:eastAsia="Calibri"/>
          <w:b/>
          <w:i/>
          <w:u w:val="single"/>
          <w:lang w:eastAsia="en-US"/>
        </w:rPr>
        <w:t>КОМПОНЕНТ [3]: пряко подпомагане на доходите</w:t>
      </w:r>
      <w:bookmarkEnd w:id="16"/>
    </w:p>
    <w:p w:rsidR="00106A2A" w:rsidRPr="00106A2A" w:rsidRDefault="00106A2A" w:rsidP="00106A2A">
      <w:pPr>
        <w:autoSpaceDE w:val="0"/>
        <w:autoSpaceDN w:val="0"/>
        <w:spacing w:before="8"/>
        <w:jc w:val="both"/>
        <w:rPr>
          <w:b/>
          <w:bCs/>
          <w:i/>
          <w:iCs/>
          <w:lang w:eastAsia="en-US"/>
        </w:rPr>
      </w:pPr>
      <w:r w:rsidRPr="00106A2A">
        <w:rPr>
          <w:rFonts w:eastAsia="Calibri"/>
          <w:b/>
          <w:i/>
          <w:lang w:eastAsia="en-US"/>
        </w:rPr>
        <w:t>Информация за компонента за пряко подпомагане на доходите:</w:t>
      </w:r>
    </w:p>
    <w:p w:rsidR="00106A2A" w:rsidRPr="00106A2A" w:rsidRDefault="00106A2A" w:rsidP="00106A2A">
      <w:pPr>
        <w:keepNext/>
        <w:keepLines/>
        <w:widowControl/>
        <w:spacing w:before="240" w:after="160" w:line="259" w:lineRule="auto"/>
        <w:ind w:left="720" w:hanging="11"/>
        <w:jc w:val="both"/>
        <w:outlineLvl w:val="2"/>
        <w:rPr>
          <w:b/>
          <w:bCs/>
          <w:i/>
          <w:iCs/>
          <w:u w:val="single"/>
          <w:lang w:eastAsia="en-US"/>
        </w:rPr>
      </w:pPr>
      <w:bookmarkStart w:id="17" w:name="_Toc128649687"/>
      <w:r w:rsidRPr="00106A2A">
        <w:rPr>
          <w:b/>
          <w:bCs/>
          <w:i/>
          <w:iCs/>
          <w:lang w:eastAsia="en-US"/>
        </w:rPr>
        <w:t>(i)</w:t>
      </w:r>
      <w:r w:rsidRPr="00106A2A">
        <w:rPr>
          <w:b/>
          <w:bCs/>
          <w:i/>
          <w:iCs/>
          <w:lang w:eastAsia="en-US"/>
        </w:rPr>
        <w:tab/>
      </w:r>
      <w:r w:rsidRPr="00106A2A">
        <w:rPr>
          <w:rFonts w:eastAsia="Calibri"/>
          <w:b/>
          <w:i/>
          <w:u w:val="single"/>
          <w:lang w:eastAsia="en-US"/>
        </w:rPr>
        <w:t>Описание на компонента</w:t>
      </w:r>
      <w:bookmarkEnd w:id="17"/>
    </w:p>
    <w:p w:rsidR="00106A2A" w:rsidRPr="00106A2A" w:rsidRDefault="00106A2A" w:rsidP="00106A2A">
      <w:pPr>
        <w:widowControl/>
        <w:spacing w:before="120" w:after="120" w:line="360" w:lineRule="auto"/>
        <w:rPr>
          <w:b/>
          <w:bCs/>
          <w:i/>
          <w:iCs/>
          <w:lang w:eastAsia="en-US"/>
        </w:rPr>
      </w:pPr>
      <w:r w:rsidRPr="00106A2A">
        <w:rPr>
          <w:rFonts w:eastAsia="Calibri"/>
          <w:lang w:eastAsia="en-US"/>
        </w:rPr>
        <w:br w:type="page"/>
      </w:r>
    </w:p>
    <w:p w:rsidR="00106A2A" w:rsidRPr="00106A2A" w:rsidRDefault="00106A2A" w:rsidP="00106A2A">
      <w:pPr>
        <w:autoSpaceDE w:val="0"/>
        <w:autoSpaceDN w:val="0"/>
        <w:spacing w:before="120" w:after="120"/>
        <w:jc w:val="both"/>
        <w:rPr>
          <w:b/>
          <w:bCs/>
          <w:i/>
          <w:iCs/>
          <w:lang w:eastAsia="en-US"/>
        </w:rPr>
      </w:pPr>
      <w:r w:rsidRPr="00106A2A">
        <w:rPr>
          <w:rFonts w:eastAsia="Calibri"/>
          <w:b/>
          <w:i/>
          <w:lang w:eastAsia="en-US"/>
        </w:rPr>
        <w:t>Поле за резюме:</w:t>
      </w:r>
    </w:p>
    <w:tbl>
      <w:tblPr>
        <w:tblStyle w:val="TableGrid1"/>
        <w:tblW w:w="0" w:type="auto"/>
        <w:tblLook w:val="04A0" w:firstRow="1" w:lastRow="0" w:firstColumn="1" w:lastColumn="0" w:noHBand="0" w:noVBand="1"/>
      </w:tblPr>
      <w:tblGrid>
        <w:gridCol w:w="9060"/>
      </w:tblGrid>
      <w:tr w:rsidR="00106A2A" w:rsidRPr="00106A2A" w:rsidTr="006919B6">
        <w:tc>
          <w:tcPr>
            <w:tcW w:w="9576" w:type="dxa"/>
          </w:tcPr>
          <w:p w:rsidR="00106A2A" w:rsidRPr="00106A2A" w:rsidRDefault="00106A2A" w:rsidP="00106A2A">
            <w:pPr>
              <w:widowControl/>
              <w:spacing w:before="240" w:after="120"/>
              <w:ind w:left="426"/>
              <w:jc w:val="both"/>
              <w:rPr>
                <w:b/>
                <w:bCs/>
                <w:i/>
                <w:iCs/>
              </w:rPr>
            </w:pPr>
            <w:r w:rsidRPr="00106A2A">
              <w:rPr>
                <w:b/>
                <w:i/>
                <w:u w:val="thick"/>
              </w:rPr>
              <w:t>Поле за резюме за компонент 3 — пряко подпомагане на доходите</w:t>
            </w:r>
          </w:p>
          <w:p w:rsidR="00106A2A" w:rsidRPr="00106A2A" w:rsidRDefault="00106A2A" w:rsidP="00106A2A">
            <w:pPr>
              <w:widowControl/>
              <w:spacing w:before="178" w:after="120"/>
              <w:ind w:left="426"/>
              <w:jc w:val="both"/>
              <w:rPr>
                <w:b/>
                <w:bCs/>
                <w:i/>
                <w:iCs/>
              </w:rPr>
            </w:pPr>
            <w:r w:rsidRPr="00106A2A">
              <w:rPr>
                <w:b/>
                <w:i/>
              </w:rPr>
              <w:t>Област на интервенция: пряко подпомагане на доходите</w:t>
            </w:r>
          </w:p>
          <w:p w:rsidR="00106A2A" w:rsidRPr="00106A2A" w:rsidRDefault="00106A2A" w:rsidP="00106A2A">
            <w:pPr>
              <w:widowControl/>
              <w:spacing w:before="180" w:after="120"/>
              <w:ind w:left="426"/>
              <w:jc w:val="both"/>
              <w:rPr>
                <w:b/>
                <w:bCs/>
                <w:i/>
                <w:iCs/>
              </w:rPr>
            </w:pPr>
            <w:r w:rsidRPr="00106A2A">
              <w:rPr>
                <w:b/>
                <w:i/>
              </w:rPr>
              <w:t>Обща цел:</w:t>
            </w:r>
          </w:p>
          <w:p w:rsidR="00106A2A" w:rsidRPr="00106A2A" w:rsidRDefault="00106A2A" w:rsidP="00106A2A">
            <w:pPr>
              <w:widowControl/>
              <w:spacing w:before="180" w:after="120"/>
              <w:ind w:left="426"/>
              <w:jc w:val="both"/>
              <w:rPr>
                <w:b/>
                <w:bCs/>
                <w:i/>
                <w:iCs/>
              </w:rPr>
            </w:pPr>
            <w:r w:rsidRPr="00106A2A">
              <w:rPr>
                <w:b/>
                <w:i/>
              </w:rPr>
              <w:t>Мерки:</w:t>
            </w:r>
          </w:p>
          <w:p w:rsidR="00106A2A" w:rsidRPr="00106A2A" w:rsidRDefault="00106A2A" w:rsidP="00106A2A">
            <w:pPr>
              <w:widowControl/>
              <w:spacing w:before="180" w:after="120"/>
              <w:ind w:left="426"/>
              <w:jc w:val="both"/>
              <w:rPr>
                <w:b/>
                <w:bCs/>
                <w:i/>
                <w:iCs/>
              </w:rPr>
            </w:pPr>
            <w:r w:rsidRPr="00106A2A">
              <w:rPr>
                <w:b/>
                <w:i/>
              </w:rPr>
              <w:t>Прогнозни общи разходи: xx EUR, от които</w:t>
            </w:r>
          </w:p>
          <w:p w:rsidR="00106A2A" w:rsidRPr="00106A2A" w:rsidRDefault="00106A2A" w:rsidP="00106A2A">
            <w:pPr>
              <w:widowControl/>
              <w:spacing w:before="180" w:after="120"/>
              <w:ind w:left="426"/>
              <w:jc w:val="both"/>
              <w:rPr>
                <w:b/>
                <w:bCs/>
                <w:i/>
                <w:iCs/>
              </w:rPr>
            </w:pPr>
            <w:r w:rsidRPr="00106A2A">
              <w:rPr>
                <w:b/>
                <w:i/>
              </w:rPr>
              <w:t>Разходи, за които е поискано да бъдат покрити от Фонда: xx EUR</w:t>
            </w:r>
          </w:p>
          <w:p w:rsidR="00106A2A" w:rsidRPr="00106A2A" w:rsidRDefault="00106A2A" w:rsidP="00106A2A">
            <w:pPr>
              <w:widowControl/>
              <w:spacing w:before="180" w:after="120"/>
              <w:ind w:left="426"/>
              <w:jc w:val="both"/>
              <w:rPr>
                <w:b/>
                <w:bCs/>
                <w:i/>
                <w:iCs/>
              </w:rPr>
            </w:pPr>
            <w:r w:rsidRPr="00106A2A">
              <w:rPr>
                <w:b/>
                <w:i/>
              </w:rPr>
              <w:t xml:space="preserve">Разходи, които трябва да бъдат покрити от националния принос: xx EUR </w:t>
            </w:r>
          </w:p>
        </w:tc>
      </w:tr>
    </w:tbl>
    <w:p w:rsidR="00106A2A" w:rsidRPr="00106A2A" w:rsidRDefault="00106A2A" w:rsidP="00106A2A">
      <w:pPr>
        <w:keepNext/>
        <w:keepLines/>
        <w:widowControl/>
        <w:spacing w:before="240" w:after="160" w:line="259" w:lineRule="auto"/>
        <w:ind w:left="720" w:hanging="11"/>
        <w:jc w:val="both"/>
        <w:outlineLvl w:val="2"/>
        <w:rPr>
          <w:b/>
          <w:bCs/>
          <w:i/>
          <w:iCs/>
          <w:u w:val="single"/>
          <w:lang w:eastAsia="en-US"/>
        </w:rPr>
      </w:pPr>
      <w:bookmarkStart w:id="18" w:name="_Toc128649688"/>
      <w:r w:rsidRPr="00106A2A">
        <w:rPr>
          <w:b/>
          <w:bCs/>
          <w:i/>
          <w:iCs/>
          <w:lang w:eastAsia="en-US"/>
        </w:rPr>
        <w:t>(ii)</w:t>
      </w:r>
      <w:r w:rsidRPr="00106A2A">
        <w:rPr>
          <w:b/>
          <w:bCs/>
          <w:i/>
          <w:iCs/>
          <w:lang w:eastAsia="en-US"/>
        </w:rPr>
        <w:tab/>
      </w:r>
      <w:r w:rsidRPr="00106A2A">
        <w:rPr>
          <w:rFonts w:eastAsia="Calibri"/>
          <w:b/>
          <w:i/>
          <w:u w:val="single"/>
          <w:lang w:eastAsia="en-US"/>
        </w:rPr>
        <w:t>Описание на мерките по компонента</w:t>
      </w:r>
      <w:bookmarkEnd w:id="18"/>
    </w:p>
    <w:p w:rsidR="00106A2A" w:rsidRPr="00106A2A" w:rsidRDefault="00106A2A" w:rsidP="00106A2A">
      <w:pPr>
        <w:autoSpaceDE w:val="0"/>
        <w:autoSpaceDN w:val="0"/>
        <w:spacing w:before="180" w:line="360" w:lineRule="auto"/>
        <w:rPr>
          <w:b/>
          <w:bCs/>
          <w:i/>
          <w:iCs/>
          <w:lang w:eastAsia="en-US"/>
        </w:rPr>
      </w:pPr>
      <w:r w:rsidRPr="00106A2A">
        <w:rPr>
          <w:rFonts w:eastAsia="Calibri"/>
          <w:b/>
          <w:i/>
          <w:lang w:eastAsia="en-US"/>
        </w:rPr>
        <w:t>Подробно описание на компонента и свързаните с него специфични мерки, както и техните взаимовръзки и полезни взаимодействия, включително:</w:t>
      </w:r>
    </w:p>
    <w:p w:rsidR="00106A2A" w:rsidRPr="00106A2A" w:rsidRDefault="00106A2A" w:rsidP="00106A2A">
      <w:pPr>
        <w:tabs>
          <w:tab w:val="left" w:pos="1276"/>
        </w:tabs>
        <w:autoSpaceDE w:val="0"/>
        <w:autoSpaceDN w:val="0"/>
        <w:spacing w:before="182" w:line="360" w:lineRule="auto"/>
        <w:ind w:left="1276" w:hanging="425"/>
        <w:rPr>
          <w:rFonts w:eastAsia="Calibri"/>
          <w:b/>
          <w:bCs/>
          <w:i/>
          <w:iCs/>
          <w:lang w:eastAsia="en-US"/>
        </w:rPr>
      </w:pPr>
      <w:r w:rsidRPr="00106A2A">
        <w:rPr>
          <w:rFonts w:eastAsia="Symbol"/>
          <w:bCs/>
          <w:iCs/>
          <w:lang w:bidi="en-GB"/>
        </w:rPr>
        <w:t></w:t>
      </w:r>
      <w:r w:rsidRPr="00106A2A">
        <w:rPr>
          <w:rFonts w:eastAsia="Symbol"/>
          <w:bCs/>
          <w:iCs/>
          <w:lang w:bidi="en-GB"/>
        </w:rPr>
        <w:tab/>
      </w:r>
      <w:r w:rsidRPr="00106A2A">
        <w:rPr>
          <w:rFonts w:eastAsia="Calibri"/>
          <w:b/>
          <w:i/>
          <w:lang w:eastAsia="en-US"/>
        </w:rPr>
        <w:t>ясен и основан на доказателства анализ на съществуващите предизвикателства и какви мерки се предприемат за преодоляването им, и целите на подпомагането;</w:t>
      </w:r>
    </w:p>
    <w:p w:rsidR="00106A2A" w:rsidRPr="00106A2A" w:rsidRDefault="00106A2A" w:rsidP="00106A2A">
      <w:pPr>
        <w:tabs>
          <w:tab w:val="left" w:pos="1276"/>
        </w:tabs>
        <w:autoSpaceDE w:val="0"/>
        <w:autoSpaceDN w:val="0"/>
        <w:spacing w:before="163" w:line="360" w:lineRule="auto"/>
        <w:ind w:left="1276" w:hanging="425"/>
        <w:jc w:val="both"/>
        <w:rPr>
          <w:rFonts w:eastAsia="Calibri"/>
          <w:b/>
          <w:bCs/>
          <w:i/>
          <w:iCs/>
          <w:lang w:eastAsia="en-US"/>
        </w:rPr>
      </w:pPr>
      <w:r w:rsidRPr="00106A2A">
        <w:rPr>
          <w:rFonts w:eastAsia="Symbol"/>
          <w:bCs/>
          <w:iCs/>
          <w:lang w:bidi="en-GB"/>
        </w:rPr>
        <w:t></w:t>
      </w:r>
      <w:r w:rsidRPr="00106A2A">
        <w:rPr>
          <w:rFonts w:eastAsia="Symbol"/>
          <w:bCs/>
          <w:iCs/>
          <w:lang w:bidi="en-GB"/>
        </w:rPr>
        <w:tab/>
      </w:r>
      <w:r w:rsidRPr="00106A2A">
        <w:rPr>
          <w:rFonts w:eastAsia="Calibri"/>
          <w:b/>
          <w:i/>
          <w:lang w:eastAsia="en-US"/>
        </w:rPr>
        <w:t>характера, вида и размера на подпомагането;</w:t>
      </w:r>
    </w:p>
    <w:p w:rsidR="00106A2A" w:rsidRPr="00106A2A" w:rsidRDefault="00106A2A" w:rsidP="00106A2A">
      <w:pPr>
        <w:tabs>
          <w:tab w:val="left" w:pos="1276"/>
        </w:tabs>
        <w:autoSpaceDE w:val="0"/>
        <w:autoSpaceDN w:val="0"/>
        <w:spacing w:before="181" w:line="360" w:lineRule="auto"/>
        <w:ind w:left="1276" w:hanging="425"/>
        <w:rPr>
          <w:rFonts w:eastAsia="Calibri"/>
          <w:b/>
          <w:bCs/>
          <w:i/>
          <w:iCs/>
          <w:lang w:eastAsia="en-US"/>
        </w:rPr>
      </w:pPr>
      <w:r w:rsidRPr="00106A2A">
        <w:rPr>
          <w:rFonts w:eastAsia="Symbol"/>
          <w:bCs/>
          <w:iCs/>
          <w:lang w:bidi="en-GB"/>
        </w:rPr>
        <w:t></w:t>
      </w:r>
      <w:r w:rsidRPr="00106A2A">
        <w:rPr>
          <w:rFonts w:eastAsia="Symbol"/>
          <w:bCs/>
          <w:iCs/>
          <w:lang w:bidi="en-GB"/>
        </w:rPr>
        <w:tab/>
      </w:r>
      <w:r w:rsidRPr="00106A2A">
        <w:rPr>
          <w:rFonts w:eastAsia="Calibri"/>
          <w:b/>
          <w:i/>
          <w:lang w:eastAsia="en-US"/>
        </w:rPr>
        <w:t>подробна информация относно крайните получатели на подпомагането и критериите, използвани за тяхното идентифициране;</w:t>
      </w:r>
    </w:p>
    <w:p w:rsidR="00106A2A" w:rsidRPr="00106A2A" w:rsidRDefault="00106A2A" w:rsidP="00106A2A">
      <w:pPr>
        <w:tabs>
          <w:tab w:val="left" w:pos="1276"/>
        </w:tabs>
        <w:autoSpaceDE w:val="0"/>
        <w:autoSpaceDN w:val="0"/>
        <w:spacing w:before="168" w:line="360" w:lineRule="auto"/>
        <w:ind w:left="1276" w:hanging="425"/>
        <w:rPr>
          <w:rFonts w:eastAsia="Calibri"/>
          <w:b/>
          <w:bCs/>
          <w:i/>
          <w:iCs/>
          <w:lang w:eastAsia="en-US"/>
        </w:rPr>
      </w:pPr>
      <w:r w:rsidRPr="00106A2A">
        <w:rPr>
          <w:rFonts w:eastAsia="Symbol"/>
          <w:bCs/>
          <w:iCs/>
          <w:lang w:bidi="en-GB"/>
        </w:rPr>
        <w:t></w:t>
      </w:r>
      <w:r w:rsidRPr="00106A2A">
        <w:rPr>
          <w:rFonts w:eastAsia="Symbol"/>
          <w:bCs/>
          <w:iCs/>
          <w:lang w:bidi="en-GB"/>
        </w:rPr>
        <w:tab/>
      </w:r>
      <w:r w:rsidRPr="00106A2A">
        <w:rPr>
          <w:rFonts w:eastAsia="Calibri"/>
          <w:b/>
          <w:i/>
          <w:lang w:eastAsia="en-US"/>
        </w:rPr>
        <w:t>графикът за намаляване на прякото подпомагане на доходите в съответствие с графика на Фонда, включително конкретна крайна дата за подпомагането;</w:t>
      </w:r>
    </w:p>
    <w:p w:rsidR="00106A2A" w:rsidRPr="00106A2A" w:rsidRDefault="00106A2A" w:rsidP="00106A2A">
      <w:pPr>
        <w:tabs>
          <w:tab w:val="left" w:pos="1276"/>
        </w:tabs>
        <w:autoSpaceDE w:val="0"/>
        <w:autoSpaceDN w:val="0"/>
        <w:spacing w:before="120" w:line="360" w:lineRule="auto"/>
        <w:ind w:left="1276" w:hanging="425"/>
        <w:rPr>
          <w:rFonts w:eastAsia="Calibri"/>
          <w:b/>
          <w:bCs/>
          <w:i/>
          <w:iCs/>
          <w:lang w:eastAsia="en-US"/>
        </w:rPr>
      </w:pPr>
      <w:r w:rsidRPr="00106A2A">
        <w:rPr>
          <w:rFonts w:eastAsia="Symbol"/>
          <w:bCs/>
          <w:iCs/>
          <w:lang w:bidi="en-GB"/>
        </w:rPr>
        <w:t></w:t>
      </w:r>
      <w:r w:rsidRPr="00106A2A">
        <w:rPr>
          <w:rFonts w:eastAsia="Symbol"/>
          <w:bCs/>
          <w:iCs/>
          <w:lang w:bidi="en-GB"/>
        </w:rPr>
        <w:tab/>
      </w:r>
      <w:r w:rsidRPr="00106A2A">
        <w:rPr>
          <w:rFonts w:eastAsia="Calibri"/>
          <w:b/>
          <w:i/>
          <w:lang w:eastAsia="en-US"/>
        </w:rPr>
        <w:t>обяснение на начина, по който подпомагането ще бъде насочено към преодоляване на неравенството между половете, ако е приложимо;</w:t>
      </w:r>
    </w:p>
    <w:p w:rsidR="00106A2A" w:rsidRPr="00106A2A" w:rsidRDefault="00106A2A" w:rsidP="00106A2A">
      <w:pPr>
        <w:tabs>
          <w:tab w:val="left" w:pos="1276"/>
        </w:tabs>
        <w:autoSpaceDE w:val="0"/>
        <w:autoSpaceDN w:val="0"/>
        <w:spacing w:before="120" w:line="360" w:lineRule="auto"/>
        <w:ind w:left="1276" w:hanging="425"/>
        <w:jc w:val="both"/>
        <w:rPr>
          <w:rFonts w:eastAsia="Calibri"/>
          <w:b/>
          <w:bCs/>
          <w:i/>
          <w:iCs/>
          <w:lang w:eastAsia="en-US"/>
        </w:rPr>
      </w:pPr>
      <w:r w:rsidRPr="00106A2A">
        <w:rPr>
          <w:rFonts w:eastAsia="Symbol"/>
          <w:bCs/>
          <w:iCs/>
          <w:lang w:bidi="en-GB"/>
        </w:rPr>
        <w:t></w:t>
      </w:r>
      <w:r w:rsidRPr="00106A2A">
        <w:rPr>
          <w:rFonts w:eastAsia="Symbol"/>
          <w:bCs/>
          <w:iCs/>
          <w:lang w:bidi="en-GB"/>
        </w:rPr>
        <w:tab/>
      </w:r>
      <w:r w:rsidRPr="00106A2A">
        <w:rPr>
          <w:rFonts w:eastAsia="Calibri"/>
          <w:b/>
          <w:i/>
          <w:lang w:eastAsia="en-US"/>
        </w:rPr>
        <w:t>описание на начина на изпълнение на подпомагането;</w:t>
      </w:r>
    </w:p>
    <w:p w:rsidR="00106A2A" w:rsidRPr="00106A2A" w:rsidRDefault="00106A2A" w:rsidP="00106A2A">
      <w:pPr>
        <w:tabs>
          <w:tab w:val="left" w:pos="1276"/>
        </w:tabs>
        <w:autoSpaceDE w:val="0"/>
        <w:autoSpaceDN w:val="0"/>
        <w:spacing w:before="168" w:line="360" w:lineRule="auto"/>
        <w:ind w:left="1340" w:hanging="425"/>
        <w:contextualSpacing/>
        <w:jc w:val="both"/>
        <w:rPr>
          <w:rFonts w:eastAsia="Calibri"/>
          <w:b/>
          <w:i/>
          <w:lang w:eastAsia="en-US"/>
        </w:rPr>
      </w:pPr>
      <w:r w:rsidRPr="00106A2A">
        <w:rPr>
          <w:rFonts w:eastAsia="Symbol"/>
          <w:bCs/>
          <w:iCs/>
          <w:lang w:bidi="en-GB"/>
        </w:rPr>
        <w:t></w:t>
      </w:r>
      <w:r w:rsidRPr="00106A2A">
        <w:rPr>
          <w:rFonts w:eastAsia="Symbol"/>
          <w:bCs/>
          <w:iCs/>
          <w:lang w:bidi="en-GB"/>
        </w:rPr>
        <w:tab/>
      </w:r>
      <w:r w:rsidRPr="00106A2A">
        <w:rPr>
          <w:rFonts w:eastAsia="Calibri"/>
          <w:b/>
          <w:i/>
          <w:lang w:eastAsia="en-US"/>
        </w:rPr>
        <w:t>информация за националния принос към разходите за мерките.</w:t>
      </w:r>
    </w:p>
    <w:p w:rsidR="00106A2A" w:rsidRPr="00106A2A" w:rsidRDefault="00106A2A" w:rsidP="00106A2A">
      <w:pPr>
        <w:widowControl/>
        <w:rPr>
          <w:rFonts w:eastAsia="Calibri"/>
          <w:b/>
          <w:i/>
          <w:lang w:eastAsia="en-US"/>
        </w:rPr>
      </w:pPr>
      <w:r w:rsidRPr="00106A2A">
        <w:rPr>
          <w:rFonts w:eastAsia="Calibri"/>
          <w:b/>
          <w:i/>
          <w:lang w:eastAsia="en-US"/>
        </w:rPr>
        <w:br w:type="page"/>
      </w:r>
    </w:p>
    <w:p w:rsidR="00106A2A" w:rsidRPr="00106A2A" w:rsidRDefault="00106A2A" w:rsidP="00106A2A">
      <w:pPr>
        <w:keepNext/>
        <w:keepLines/>
        <w:widowControl/>
        <w:spacing w:before="240" w:after="160" w:line="259" w:lineRule="auto"/>
        <w:ind w:left="720" w:hanging="11"/>
        <w:jc w:val="both"/>
        <w:outlineLvl w:val="2"/>
        <w:rPr>
          <w:b/>
          <w:bCs/>
          <w:i/>
          <w:iCs/>
          <w:u w:val="single"/>
          <w:lang w:eastAsia="en-US"/>
        </w:rPr>
      </w:pPr>
      <w:r w:rsidRPr="00106A2A">
        <w:rPr>
          <w:b/>
          <w:bCs/>
          <w:i/>
          <w:iCs/>
          <w:lang w:eastAsia="en-US"/>
        </w:rPr>
        <w:t>(iii)</w:t>
      </w:r>
      <w:r w:rsidRPr="00106A2A">
        <w:rPr>
          <w:b/>
          <w:bCs/>
          <w:i/>
          <w:iCs/>
          <w:lang w:eastAsia="en-US"/>
        </w:rPr>
        <w:tab/>
      </w:r>
      <w:bookmarkStart w:id="19" w:name="_Toc128649689"/>
      <w:r w:rsidRPr="00106A2A">
        <w:rPr>
          <w:rFonts w:eastAsia="Calibri"/>
          <w:b/>
          <w:i/>
          <w:u w:val="single"/>
          <w:lang w:eastAsia="en-US"/>
        </w:rPr>
        <w:t>Междинни цели и целеви стойности за мерките за пряко подпомагане на доходите</w:t>
      </w:r>
      <w:bookmarkEnd w:id="19"/>
    </w:p>
    <w:p w:rsidR="00106A2A" w:rsidRPr="00106A2A" w:rsidRDefault="00106A2A" w:rsidP="00106A2A">
      <w:pPr>
        <w:autoSpaceDE w:val="0"/>
        <w:autoSpaceDN w:val="0"/>
        <w:spacing w:before="180" w:line="360" w:lineRule="auto"/>
        <w:jc w:val="both"/>
        <w:rPr>
          <w:rFonts w:eastAsia="Calibri"/>
          <w:b/>
          <w:bCs/>
          <w:i/>
          <w:iCs/>
          <w:lang w:eastAsia="en-US"/>
        </w:rPr>
      </w:pPr>
      <w:r w:rsidRPr="00106A2A">
        <w:rPr>
          <w:rFonts w:eastAsia="Calibri"/>
          <w:b/>
          <w:i/>
          <w:lang w:eastAsia="en-US"/>
        </w:rPr>
        <w:t>Информация за всяка междинна цел и целева стойност, която ще отразява напредъка по изпълнението на този компонент, както следва:</w:t>
      </w:r>
    </w:p>
    <w:p w:rsidR="00106A2A" w:rsidRPr="00106A2A" w:rsidRDefault="00106A2A" w:rsidP="00106A2A">
      <w:pPr>
        <w:tabs>
          <w:tab w:val="left" w:pos="1276"/>
        </w:tabs>
        <w:autoSpaceDE w:val="0"/>
        <w:autoSpaceDN w:val="0"/>
        <w:spacing w:before="182" w:line="360" w:lineRule="auto"/>
        <w:ind w:left="1276" w:hanging="425"/>
        <w:jc w:val="both"/>
        <w:rPr>
          <w:rFonts w:eastAsia="Calibri"/>
          <w:b/>
          <w:bCs/>
          <w:i/>
          <w:iCs/>
          <w:lang w:eastAsia="en-US"/>
        </w:rPr>
      </w:pPr>
      <w:r w:rsidRPr="00106A2A">
        <w:rPr>
          <w:rFonts w:eastAsia="Symbol"/>
          <w:bCs/>
          <w:iCs/>
          <w:lang w:bidi="en-GB"/>
        </w:rPr>
        <w:t></w:t>
      </w:r>
      <w:r w:rsidRPr="00106A2A">
        <w:rPr>
          <w:rFonts w:eastAsia="Symbol"/>
          <w:bCs/>
          <w:iCs/>
          <w:lang w:bidi="en-GB"/>
        </w:rPr>
        <w:tab/>
      </w:r>
      <w:r w:rsidRPr="00106A2A">
        <w:rPr>
          <w:rFonts w:eastAsia="Calibri"/>
          <w:b/>
          <w:i/>
          <w:lang w:eastAsia="en-US"/>
        </w:rPr>
        <w:t>защо е избрана конкретната междинна цел или целева стойност;</w:t>
      </w:r>
    </w:p>
    <w:p w:rsidR="00106A2A" w:rsidRPr="00106A2A" w:rsidRDefault="00106A2A" w:rsidP="00106A2A">
      <w:pPr>
        <w:tabs>
          <w:tab w:val="left" w:pos="1276"/>
        </w:tabs>
        <w:autoSpaceDE w:val="0"/>
        <w:autoSpaceDN w:val="0"/>
        <w:spacing w:before="182" w:line="360" w:lineRule="auto"/>
        <w:ind w:left="1276" w:hanging="425"/>
        <w:jc w:val="both"/>
        <w:rPr>
          <w:rFonts w:eastAsia="Calibri"/>
          <w:b/>
          <w:bCs/>
          <w:i/>
          <w:iCs/>
          <w:lang w:eastAsia="en-US"/>
        </w:rPr>
      </w:pPr>
      <w:r w:rsidRPr="00106A2A">
        <w:rPr>
          <w:rFonts w:eastAsia="Symbol"/>
          <w:bCs/>
          <w:iCs/>
          <w:lang w:bidi="en-GB"/>
        </w:rPr>
        <w:t></w:t>
      </w:r>
      <w:r w:rsidRPr="00106A2A">
        <w:rPr>
          <w:rFonts w:eastAsia="Symbol"/>
          <w:bCs/>
          <w:iCs/>
          <w:lang w:bidi="en-GB"/>
        </w:rPr>
        <w:tab/>
      </w:r>
      <w:r w:rsidRPr="00106A2A">
        <w:rPr>
          <w:rFonts w:eastAsia="Calibri"/>
          <w:b/>
          <w:i/>
          <w:lang w:eastAsia="en-US"/>
        </w:rPr>
        <w:t>какво измерва междинната цел или целевата стойност;</w:t>
      </w:r>
    </w:p>
    <w:p w:rsidR="00106A2A" w:rsidRPr="00106A2A" w:rsidRDefault="00106A2A" w:rsidP="00106A2A">
      <w:pPr>
        <w:tabs>
          <w:tab w:val="left" w:pos="1276"/>
        </w:tabs>
        <w:autoSpaceDE w:val="0"/>
        <w:autoSpaceDN w:val="0"/>
        <w:spacing w:before="182" w:line="360" w:lineRule="auto"/>
        <w:ind w:left="1276" w:hanging="425"/>
        <w:jc w:val="both"/>
        <w:rPr>
          <w:rFonts w:eastAsia="Calibri"/>
          <w:b/>
          <w:bCs/>
          <w:i/>
          <w:iCs/>
          <w:lang w:eastAsia="en-US"/>
        </w:rPr>
      </w:pPr>
      <w:r w:rsidRPr="00106A2A">
        <w:rPr>
          <w:rFonts w:eastAsia="Symbol"/>
          <w:bCs/>
          <w:iCs/>
          <w:lang w:bidi="en-GB"/>
        </w:rPr>
        <w:t></w:t>
      </w:r>
      <w:r w:rsidRPr="00106A2A">
        <w:rPr>
          <w:rFonts w:eastAsia="Symbol"/>
          <w:bCs/>
          <w:iCs/>
          <w:lang w:bidi="en-GB"/>
        </w:rPr>
        <w:tab/>
      </w:r>
      <w:r w:rsidRPr="00106A2A">
        <w:rPr>
          <w:rFonts w:eastAsia="Calibri"/>
          <w:b/>
          <w:i/>
          <w:lang w:eastAsia="en-US"/>
        </w:rPr>
        <w:t>как ще се извършва измерването, каква методология и източник ще бъдат използвани и как ще бъде обективно проверено правилното постигане на междинната цел или целевата стойност;</w:t>
      </w:r>
    </w:p>
    <w:p w:rsidR="00106A2A" w:rsidRPr="00106A2A" w:rsidRDefault="00106A2A" w:rsidP="00106A2A">
      <w:pPr>
        <w:tabs>
          <w:tab w:val="left" w:pos="1276"/>
        </w:tabs>
        <w:autoSpaceDE w:val="0"/>
        <w:autoSpaceDN w:val="0"/>
        <w:spacing w:before="182" w:line="360" w:lineRule="auto"/>
        <w:ind w:left="1276" w:hanging="425"/>
        <w:jc w:val="both"/>
        <w:rPr>
          <w:rFonts w:eastAsia="Calibri"/>
          <w:b/>
          <w:bCs/>
          <w:i/>
          <w:iCs/>
          <w:lang w:eastAsia="en-US"/>
        </w:rPr>
      </w:pPr>
      <w:r w:rsidRPr="00106A2A">
        <w:rPr>
          <w:rFonts w:eastAsia="Symbol"/>
          <w:bCs/>
          <w:iCs/>
          <w:lang w:bidi="en-GB"/>
        </w:rPr>
        <w:t></w:t>
      </w:r>
      <w:r w:rsidRPr="00106A2A">
        <w:rPr>
          <w:rFonts w:eastAsia="Symbol"/>
          <w:bCs/>
          <w:iCs/>
          <w:lang w:bidi="en-GB"/>
        </w:rPr>
        <w:tab/>
      </w:r>
      <w:r w:rsidRPr="00106A2A">
        <w:rPr>
          <w:rFonts w:eastAsia="Calibri"/>
          <w:b/>
          <w:i/>
          <w:lang w:eastAsia="en-US"/>
        </w:rPr>
        <w:t>какво е базовото равнище (отправна точка) и какво равнище или конкретно достижение трябва да бъде постигнато;</w:t>
      </w:r>
    </w:p>
    <w:p w:rsidR="00106A2A" w:rsidRPr="00106A2A" w:rsidRDefault="00106A2A" w:rsidP="00106A2A">
      <w:pPr>
        <w:tabs>
          <w:tab w:val="left" w:pos="1276"/>
        </w:tabs>
        <w:autoSpaceDE w:val="0"/>
        <w:autoSpaceDN w:val="0"/>
        <w:spacing w:before="182" w:line="360" w:lineRule="auto"/>
        <w:ind w:left="1276" w:hanging="425"/>
        <w:jc w:val="both"/>
        <w:rPr>
          <w:rFonts w:eastAsia="Calibri"/>
          <w:b/>
          <w:bCs/>
          <w:i/>
          <w:iCs/>
          <w:lang w:eastAsia="en-US"/>
        </w:rPr>
      </w:pPr>
      <w:r w:rsidRPr="00106A2A">
        <w:rPr>
          <w:rFonts w:eastAsia="Symbol"/>
          <w:bCs/>
          <w:iCs/>
          <w:lang w:bidi="en-GB"/>
        </w:rPr>
        <w:t></w:t>
      </w:r>
      <w:r w:rsidRPr="00106A2A">
        <w:rPr>
          <w:rFonts w:eastAsia="Symbol"/>
          <w:bCs/>
          <w:iCs/>
          <w:lang w:bidi="en-GB"/>
        </w:rPr>
        <w:tab/>
      </w:r>
      <w:r w:rsidRPr="00106A2A">
        <w:rPr>
          <w:rFonts w:eastAsia="Calibri"/>
          <w:b/>
          <w:i/>
          <w:lang w:eastAsia="en-US"/>
        </w:rPr>
        <w:t>в какъв срок ще бъде постигнато;</w:t>
      </w:r>
    </w:p>
    <w:p w:rsidR="00106A2A" w:rsidRPr="00106A2A" w:rsidRDefault="00106A2A" w:rsidP="00106A2A">
      <w:pPr>
        <w:tabs>
          <w:tab w:val="left" w:pos="1276"/>
        </w:tabs>
        <w:autoSpaceDE w:val="0"/>
        <w:autoSpaceDN w:val="0"/>
        <w:spacing w:before="182" w:line="360" w:lineRule="auto"/>
        <w:ind w:left="1276" w:hanging="425"/>
        <w:jc w:val="both"/>
        <w:rPr>
          <w:rFonts w:eastAsia="Calibri"/>
          <w:b/>
          <w:bCs/>
          <w:i/>
          <w:iCs/>
          <w:lang w:eastAsia="en-US"/>
        </w:rPr>
      </w:pPr>
      <w:r w:rsidRPr="00106A2A">
        <w:rPr>
          <w:rFonts w:eastAsia="Symbol"/>
          <w:bCs/>
          <w:iCs/>
          <w:lang w:bidi="en-GB"/>
        </w:rPr>
        <w:t></w:t>
      </w:r>
      <w:r w:rsidRPr="00106A2A">
        <w:rPr>
          <w:rFonts w:eastAsia="Symbol"/>
          <w:bCs/>
          <w:iCs/>
          <w:lang w:bidi="en-GB"/>
        </w:rPr>
        <w:tab/>
      </w:r>
      <w:r w:rsidRPr="00106A2A">
        <w:rPr>
          <w:rFonts w:eastAsia="Calibri"/>
          <w:b/>
          <w:i/>
          <w:lang w:eastAsia="en-US"/>
        </w:rPr>
        <w:t>кой и коя институция ще отговаря за изпълнението, измерването и докладването.</w:t>
      </w:r>
    </w:p>
    <w:p w:rsidR="00106A2A" w:rsidRPr="00106A2A" w:rsidRDefault="00106A2A" w:rsidP="00106A2A">
      <w:pPr>
        <w:widowControl/>
        <w:spacing w:before="120" w:after="120" w:line="360" w:lineRule="auto"/>
        <w:rPr>
          <w:rFonts w:eastAsia="Calibri"/>
          <w:b/>
          <w:bCs/>
          <w:i/>
          <w:iCs/>
          <w:lang w:eastAsia="en-US"/>
        </w:rPr>
      </w:pPr>
      <w:r w:rsidRPr="00106A2A">
        <w:rPr>
          <w:rFonts w:eastAsia="Calibri"/>
          <w:lang w:eastAsia="en-US"/>
        </w:rPr>
        <w:br w:type="page"/>
      </w:r>
    </w:p>
    <w:p w:rsidR="00106A2A" w:rsidRPr="00106A2A" w:rsidRDefault="00106A2A" w:rsidP="00106A2A">
      <w:pPr>
        <w:widowControl/>
        <w:spacing w:before="120" w:after="160" w:line="360" w:lineRule="auto"/>
        <w:jc w:val="both"/>
        <w:rPr>
          <w:rFonts w:eastAsia="Calibri"/>
          <w:b/>
          <w:bCs/>
          <w:i/>
          <w:iCs/>
          <w:lang w:eastAsia="en-US"/>
        </w:rPr>
      </w:pPr>
      <w:r w:rsidRPr="00106A2A">
        <w:rPr>
          <w:rFonts w:eastAsia="Calibri"/>
          <w:b/>
          <w:i/>
          <w:lang w:eastAsia="en-US"/>
        </w:rPr>
        <w:t>Таблица, съдържаща междинните цели, целевите стойности и графика за мерките за временно пряко подпомагане на доходите, като образецът е представен по-долу:</w:t>
      </w:r>
    </w:p>
    <w:tbl>
      <w:tblPr>
        <w:tblStyle w:val="TableGrid1"/>
        <w:tblpPr w:leftFromText="180" w:rightFromText="180" w:vertAnchor="text" w:horzAnchor="page" w:tblpX="649" w:tblpY="26"/>
        <w:tblW w:w="11052" w:type="dxa"/>
        <w:tblLayout w:type="fixed"/>
        <w:tblLook w:val="04A0" w:firstRow="1" w:lastRow="0" w:firstColumn="1" w:lastColumn="0" w:noHBand="0" w:noVBand="1"/>
      </w:tblPr>
      <w:tblGrid>
        <w:gridCol w:w="846"/>
        <w:gridCol w:w="992"/>
        <w:gridCol w:w="992"/>
        <w:gridCol w:w="993"/>
        <w:gridCol w:w="1134"/>
        <w:gridCol w:w="850"/>
        <w:gridCol w:w="851"/>
        <w:gridCol w:w="708"/>
        <w:gridCol w:w="993"/>
        <w:gridCol w:w="850"/>
        <w:gridCol w:w="1843"/>
      </w:tblGrid>
      <w:tr w:rsidR="00106A2A" w:rsidRPr="00106A2A" w:rsidTr="006919B6">
        <w:trPr>
          <w:trHeight w:val="594"/>
        </w:trPr>
        <w:tc>
          <w:tcPr>
            <w:tcW w:w="846" w:type="dxa"/>
            <w:vMerge w:val="restart"/>
          </w:tcPr>
          <w:p w:rsidR="00106A2A" w:rsidRPr="00106A2A" w:rsidRDefault="00106A2A" w:rsidP="00106A2A">
            <w:pPr>
              <w:widowControl/>
              <w:rPr>
                <w:b/>
                <w:bCs/>
                <w:i/>
                <w:iCs/>
                <w:lang w:bidi="en-GB"/>
              </w:rPr>
            </w:pPr>
          </w:p>
          <w:p w:rsidR="00106A2A" w:rsidRPr="00106A2A" w:rsidRDefault="00106A2A" w:rsidP="00106A2A">
            <w:pPr>
              <w:widowControl/>
              <w:rPr>
                <w:b/>
                <w:bCs/>
                <w:i/>
                <w:iCs/>
              </w:rPr>
            </w:pPr>
            <w:r w:rsidRPr="00106A2A">
              <w:rPr>
                <w:b/>
                <w:i/>
              </w:rPr>
              <w:t>Пореден номер</w:t>
            </w:r>
          </w:p>
        </w:tc>
        <w:tc>
          <w:tcPr>
            <w:tcW w:w="992" w:type="dxa"/>
            <w:vMerge w:val="restart"/>
          </w:tcPr>
          <w:p w:rsidR="00106A2A" w:rsidRPr="00106A2A" w:rsidRDefault="00106A2A" w:rsidP="00106A2A">
            <w:pPr>
              <w:widowControl/>
              <w:rPr>
                <w:b/>
                <w:bCs/>
                <w:i/>
                <w:iCs/>
              </w:rPr>
            </w:pPr>
            <w:r w:rsidRPr="00106A2A">
              <w:rPr>
                <w:b/>
                <w:i/>
              </w:rPr>
              <w:t xml:space="preserve">Мярка </w:t>
            </w:r>
          </w:p>
        </w:tc>
        <w:tc>
          <w:tcPr>
            <w:tcW w:w="992" w:type="dxa"/>
            <w:vMerge w:val="restart"/>
          </w:tcPr>
          <w:p w:rsidR="00106A2A" w:rsidRPr="00106A2A" w:rsidRDefault="00106A2A" w:rsidP="00106A2A">
            <w:pPr>
              <w:widowControl/>
              <w:rPr>
                <w:b/>
                <w:bCs/>
                <w:i/>
                <w:iCs/>
              </w:rPr>
            </w:pPr>
            <w:r w:rsidRPr="00106A2A">
              <w:rPr>
                <w:b/>
                <w:i/>
              </w:rPr>
              <w:t>Междинна цел или целева стойност</w:t>
            </w:r>
          </w:p>
        </w:tc>
        <w:tc>
          <w:tcPr>
            <w:tcW w:w="993" w:type="dxa"/>
            <w:vMerge w:val="restart"/>
          </w:tcPr>
          <w:p w:rsidR="00106A2A" w:rsidRPr="00106A2A" w:rsidRDefault="00106A2A" w:rsidP="00106A2A">
            <w:pPr>
              <w:widowControl/>
              <w:rPr>
                <w:b/>
                <w:bCs/>
                <w:i/>
                <w:iCs/>
              </w:rPr>
            </w:pPr>
            <w:r w:rsidRPr="00106A2A">
              <w:rPr>
                <w:b/>
                <w:i/>
              </w:rPr>
              <w:t>Наименование на междинната цел</w:t>
            </w:r>
            <w:r w:rsidRPr="00106A2A" w:rsidDel="00422C93">
              <w:rPr>
                <w:b/>
                <w:i/>
              </w:rPr>
              <w:t xml:space="preserve"> </w:t>
            </w:r>
            <w:r w:rsidRPr="00106A2A">
              <w:rPr>
                <w:b/>
                <w:i/>
              </w:rPr>
              <w:t>/целевата стойност</w:t>
            </w:r>
          </w:p>
        </w:tc>
        <w:tc>
          <w:tcPr>
            <w:tcW w:w="1134" w:type="dxa"/>
            <w:vMerge w:val="restart"/>
          </w:tcPr>
          <w:p w:rsidR="00106A2A" w:rsidRPr="00106A2A" w:rsidRDefault="00106A2A" w:rsidP="00106A2A">
            <w:pPr>
              <w:widowControl/>
              <w:rPr>
                <w:b/>
                <w:bCs/>
                <w:i/>
                <w:iCs/>
              </w:rPr>
            </w:pPr>
            <w:r w:rsidRPr="00106A2A">
              <w:rPr>
                <w:b/>
                <w:i/>
              </w:rPr>
              <w:t>Качествени показатели</w:t>
            </w:r>
          </w:p>
          <w:p w:rsidR="00106A2A" w:rsidRPr="00106A2A" w:rsidRDefault="00106A2A" w:rsidP="00106A2A">
            <w:pPr>
              <w:widowControl/>
              <w:rPr>
                <w:b/>
                <w:bCs/>
                <w:i/>
                <w:iCs/>
              </w:rPr>
            </w:pPr>
            <w:r w:rsidRPr="00106A2A">
              <w:rPr>
                <w:b/>
                <w:i/>
              </w:rPr>
              <w:t>(междинни цели)</w:t>
            </w:r>
          </w:p>
        </w:tc>
        <w:tc>
          <w:tcPr>
            <w:tcW w:w="2409" w:type="dxa"/>
            <w:gridSpan w:val="3"/>
          </w:tcPr>
          <w:p w:rsidR="00106A2A" w:rsidRPr="00106A2A" w:rsidRDefault="00106A2A" w:rsidP="00106A2A">
            <w:pPr>
              <w:widowControl/>
              <w:rPr>
                <w:b/>
                <w:bCs/>
                <w:i/>
                <w:iCs/>
              </w:rPr>
            </w:pPr>
            <w:r w:rsidRPr="00106A2A">
              <w:rPr>
                <w:b/>
                <w:i/>
              </w:rPr>
              <w:t>Количествени показатели (целеви стойности)</w:t>
            </w:r>
          </w:p>
        </w:tc>
        <w:tc>
          <w:tcPr>
            <w:tcW w:w="1843" w:type="dxa"/>
            <w:gridSpan w:val="2"/>
          </w:tcPr>
          <w:p w:rsidR="00106A2A" w:rsidRPr="00106A2A" w:rsidRDefault="00106A2A" w:rsidP="00106A2A">
            <w:pPr>
              <w:widowControl/>
              <w:rPr>
                <w:b/>
                <w:bCs/>
                <w:i/>
                <w:iCs/>
              </w:rPr>
            </w:pPr>
            <w:r w:rsidRPr="00106A2A">
              <w:rPr>
                <w:b/>
                <w:i/>
              </w:rPr>
              <w:t>График за постигането</w:t>
            </w:r>
          </w:p>
        </w:tc>
        <w:tc>
          <w:tcPr>
            <w:tcW w:w="1843" w:type="dxa"/>
          </w:tcPr>
          <w:p w:rsidR="00106A2A" w:rsidRPr="00106A2A" w:rsidRDefault="00106A2A" w:rsidP="00106A2A">
            <w:pPr>
              <w:widowControl/>
              <w:rPr>
                <w:b/>
                <w:bCs/>
                <w:i/>
                <w:iCs/>
              </w:rPr>
            </w:pPr>
            <w:r w:rsidRPr="00106A2A">
              <w:rPr>
                <w:b/>
                <w:i/>
              </w:rPr>
              <w:t>Описание на всяка междинна цел и целева стойност</w:t>
            </w:r>
          </w:p>
        </w:tc>
      </w:tr>
      <w:tr w:rsidR="00106A2A" w:rsidRPr="00106A2A" w:rsidTr="006919B6">
        <w:trPr>
          <w:trHeight w:val="594"/>
        </w:trPr>
        <w:tc>
          <w:tcPr>
            <w:tcW w:w="846" w:type="dxa"/>
            <w:vMerge/>
          </w:tcPr>
          <w:p w:rsidR="00106A2A" w:rsidRPr="00106A2A" w:rsidRDefault="00106A2A" w:rsidP="00106A2A">
            <w:pPr>
              <w:widowControl/>
              <w:rPr>
                <w:b/>
                <w:bCs/>
                <w:i/>
                <w:iCs/>
                <w:lang w:bidi="en-GB"/>
              </w:rPr>
            </w:pPr>
          </w:p>
        </w:tc>
        <w:tc>
          <w:tcPr>
            <w:tcW w:w="992" w:type="dxa"/>
            <w:vMerge/>
          </w:tcPr>
          <w:p w:rsidR="00106A2A" w:rsidRPr="00106A2A" w:rsidRDefault="00106A2A" w:rsidP="00106A2A">
            <w:pPr>
              <w:widowControl/>
              <w:rPr>
                <w:b/>
                <w:bCs/>
                <w:i/>
                <w:iCs/>
                <w:lang w:bidi="en-GB"/>
              </w:rPr>
            </w:pPr>
          </w:p>
        </w:tc>
        <w:tc>
          <w:tcPr>
            <w:tcW w:w="992" w:type="dxa"/>
            <w:vMerge/>
          </w:tcPr>
          <w:p w:rsidR="00106A2A" w:rsidRPr="00106A2A" w:rsidRDefault="00106A2A" w:rsidP="00106A2A">
            <w:pPr>
              <w:widowControl/>
              <w:rPr>
                <w:b/>
                <w:bCs/>
                <w:i/>
                <w:iCs/>
              </w:rPr>
            </w:pPr>
          </w:p>
        </w:tc>
        <w:tc>
          <w:tcPr>
            <w:tcW w:w="993" w:type="dxa"/>
            <w:vMerge/>
          </w:tcPr>
          <w:p w:rsidR="00106A2A" w:rsidRPr="00106A2A" w:rsidRDefault="00106A2A" w:rsidP="00106A2A">
            <w:pPr>
              <w:widowControl/>
              <w:rPr>
                <w:b/>
                <w:bCs/>
                <w:i/>
                <w:iCs/>
              </w:rPr>
            </w:pPr>
          </w:p>
        </w:tc>
        <w:tc>
          <w:tcPr>
            <w:tcW w:w="1134" w:type="dxa"/>
            <w:vMerge/>
          </w:tcPr>
          <w:p w:rsidR="00106A2A" w:rsidRPr="00106A2A" w:rsidRDefault="00106A2A" w:rsidP="00106A2A">
            <w:pPr>
              <w:widowControl/>
              <w:rPr>
                <w:b/>
                <w:bCs/>
                <w:i/>
                <w:iCs/>
              </w:rPr>
            </w:pPr>
          </w:p>
        </w:tc>
        <w:tc>
          <w:tcPr>
            <w:tcW w:w="850" w:type="dxa"/>
          </w:tcPr>
          <w:p w:rsidR="00106A2A" w:rsidRPr="00106A2A" w:rsidRDefault="00106A2A" w:rsidP="00106A2A">
            <w:pPr>
              <w:widowControl/>
              <w:rPr>
                <w:b/>
                <w:bCs/>
                <w:i/>
                <w:iCs/>
              </w:rPr>
            </w:pPr>
            <w:r w:rsidRPr="00106A2A">
              <w:rPr>
                <w:b/>
                <w:i/>
              </w:rPr>
              <w:t>Единица мярка</w:t>
            </w:r>
          </w:p>
        </w:tc>
        <w:tc>
          <w:tcPr>
            <w:tcW w:w="851" w:type="dxa"/>
          </w:tcPr>
          <w:p w:rsidR="00106A2A" w:rsidRPr="00106A2A" w:rsidRDefault="00106A2A" w:rsidP="00106A2A">
            <w:pPr>
              <w:widowControl/>
              <w:rPr>
                <w:b/>
                <w:bCs/>
                <w:i/>
                <w:iCs/>
              </w:rPr>
            </w:pPr>
            <w:r w:rsidRPr="00106A2A">
              <w:rPr>
                <w:b/>
                <w:i/>
              </w:rPr>
              <w:t>Базово равнище</w:t>
            </w:r>
          </w:p>
        </w:tc>
        <w:tc>
          <w:tcPr>
            <w:tcW w:w="708" w:type="dxa"/>
          </w:tcPr>
          <w:p w:rsidR="00106A2A" w:rsidRPr="00106A2A" w:rsidRDefault="00106A2A" w:rsidP="00106A2A">
            <w:pPr>
              <w:widowControl/>
              <w:rPr>
                <w:b/>
                <w:bCs/>
                <w:i/>
                <w:iCs/>
              </w:rPr>
            </w:pPr>
            <w:r w:rsidRPr="00106A2A">
              <w:rPr>
                <w:b/>
                <w:i/>
              </w:rPr>
              <w:t>Обща цел</w:t>
            </w:r>
          </w:p>
        </w:tc>
        <w:tc>
          <w:tcPr>
            <w:tcW w:w="993" w:type="dxa"/>
          </w:tcPr>
          <w:p w:rsidR="00106A2A" w:rsidRPr="00106A2A" w:rsidRDefault="00106A2A" w:rsidP="00106A2A">
            <w:pPr>
              <w:widowControl/>
              <w:rPr>
                <w:b/>
                <w:bCs/>
                <w:i/>
                <w:iCs/>
              </w:rPr>
            </w:pPr>
            <w:r w:rsidRPr="00106A2A">
              <w:rPr>
                <w:b/>
                <w:i/>
              </w:rPr>
              <w:t>Тримесечие</w:t>
            </w:r>
          </w:p>
        </w:tc>
        <w:tc>
          <w:tcPr>
            <w:tcW w:w="850" w:type="dxa"/>
          </w:tcPr>
          <w:p w:rsidR="00106A2A" w:rsidRPr="00106A2A" w:rsidRDefault="00106A2A" w:rsidP="00106A2A">
            <w:pPr>
              <w:widowControl/>
              <w:rPr>
                <w:b/>
                <w:bCs/>
                <w:i/>
                <w:iCs/>
              </w:rPr>
            </w:pPr>
            <w:r w:rsidRPr="00106A2A">
              <w:rPr>
                <w:b/>
                <w:i/>
              </w:rPr>
              <w:t>Година</w:t>
            </w:r>
          </w:p>
          <w:p w:rsidR="00106A2A" w:rsidRPr="00106A2A" w:rsidRDefault="00106A2A" w:rsidP="00106A2A">
            <w:pPr>
              <w:widowControl/>
              <w:rPr>
                <w:b/>
                <w:bCs/>
                <w:i/>
                <w:iCs/>
              </w:rPr>
            </w:pPr>
          </w:p>
        </w:tc>
        <w:tc>
          <w:tcPr>
            <w:tcW w:w="1843" w:type="dxa"/>
          </w:tcPr>
          <w:p w:rsidR="00106A2A" w:rsidRPr="00106A2A" w:rsidRDefault="00106A2A" w:rsidP="00106A2A">
            <w:pPr>
              <w:widowControl/>
              <w:rPr>
                <w:b/>
                <w:bCs/>
                <w:i/>
                <w:iCs/>
              </w:rPr>
            </w:pPr>
          </w:p>
        </w:tc>
      </w:tr>
      <w:tr w:rsidR="00106A2A" w:rsidRPr="00106A2A" w:rsidTr="006919B6">
        <w:trPr>
          <w:trHeight w:val="337"/>
        </w:trPr>
        <w:tc>
          <w:tcPr>
            <w:tcW w:w="846" w:type="dxa"/>
          </w:tcPr>
          <w:p w:rsidR="00106A2A" w:rsidRPr="00106A2A" w:rsidRDefault="00106A2A" w:rsidP="00106A2A">
            <w:pPr>
              <w:widowControl/>
              <w:rPr>
                <w:b/>
                <w:bCs/>
                <w:i/>
                <w:iCs/>
              </w:rPr>
            </w:pPr>
          </w:p>
        </w:tc>
        <w:tc>
          <w:tcPr>
            <w:tcW w:w="992" w:type="dxa"/>
          </w:tcPr>
          <w:p w:rsidR="00106A2A" w:rsidRPr="00106A2A" w:rsidRDefault="00106A2A" w:rsidP="00106A2A">
            <w:pPr>
              <w:widowControl/>
              <w:rPr>
                <w:b/>
                <w:bCs/>
                <w:i/>
                <w:iCs/>
              </w:rPr>
            </w:pPr>
          </w:p>
        </w:tc>
        <w:tc>
          <w:tcPr>
            <w:tcW w:w="992" w:type="dxa"/>
          </w:tcPr>
          <w:p w:rsidR="00106A2A" w:rsidRPr="00106A2A" w:rsidRDefault="00106A2A" w:rsidP="00106A2A">
            <w:pPr>
              <w:widowControl/>
              <w:rPr>
                <w:b/>
                <w:bCs/>
                <w:i/>
                <w:iCs/>
              </w:rPr>
            </w:pPr>
          </w:p>
        </w:tc>
        <w:tc>
          <w:tcPr>
            <w:tcW w:w="993" w:type="dxa"/>
          </w:tcPr>
          <w:p w:rsidR="00106A2A" w:rsidRPr="00106A2A" w:rsidRDefault="00106A2A" w:rsidP="00106A2A">
            <w:pPr>
              <w:widowControl/>
              <w:rPr>
                <w:b/>
                <w:bCs/>
                <w:i/>
                <w:iCs/>
              </w:rPr>
            </w:pPr>
          </w:p>
        </w:tc>
        <w:tc>
          <w:tcPr>
            <w:tcW w:w="1134" w:type="dxa"/>
          </w:tcPr>
          <w:p w:rsidR="00106A2A" w:rsidRPr="00106A2A" w:rsidRDefault="00106A2A" w:rsidP="00106A2A">
            <w:pPr>
              <w:widowControl/>
              <w:rPr>
                <w:b/>
                <w:bCs/>
                <w:i/>
                <w:iCs/>
              </w:rPr>
            </w:pPr>
          </w:p>
        </w:tc>
        <w:tc>
          <w:tcPr>
            <w:tcW w:w="850" w:type="dxa"/>
          </w:tcPr>
          <w:p w:rsidR="00106A2A" w:rsidRPr="00106A2A" w:rsidRDefault="00106A2A" w:rsidP="00106A2A">
            <w:pPr>
              <w:widowControl/>
              <w:rPr>
                <w:b/>
                <w:bCs/>
                <w:i/>
                <w:iCs/>
              </w:rPr>
            </w:pPr>
          </w:p>
        </w:tc>
        <w:tc>
          <w:tcPr>
            <w:tcW w:w="851" w:type="dxa"/>
          </w:tcPr>
          <w:p w:rsidR="00106A2A" w:rsidRPr="00106A2A" w:rsidRDefault="00106A2A" w:rsidP="00106A2A">
            <w:pPr>
              <w:widowControl/>
              <w:rPr>
                <w:b/>
                <w:bCs/>
                <w:i/>
                <w:iCs/>
              </w:rPr>
            </w:pPr>
          </w:p>
        </w:tc>
        <w:tc>
          <w:tcPr>
            <w:tcW w:w="708" w:type="dxa"/>
          </w:tcPr>
          <w:p w:rsidR="00106A2A" w:rsidRPr="00106A2A" w:rsidRDefault="00106A2A" w:rsidP="00106A2A">
            <w:pPr>
              <w:widowControl/>
              <w:rPr>
                <w:b/>
                <w:bCs/>
                <w:i/>
                <w:iCs/>
              </w:rPr>
            </w:pPr>
          </w:p>
        </w:tc>
        <w:tc>
          <w:tcPr>
            <w:tcW w:w="993" w:type="dxa"/>
          </w:tcPr>
          <w:p w:rsidR="00106A2A" w:rsidRPr="00106A2A" w:rsidRDefault="00106A2A" w:rsidP="00106A2A">
            <w:pPr>
              <w:widowControl/>
              <w:rPr>
                <w:b/>
                <w:bCs/>
                <w:i/>
                <w:iCs/>
              </w:rPr>
            </w:pPr>
          </w:p>
        </w:tc>
        <w:tc>
          <w:tcPr>
            <w:tcW w:w="850" w:type="dxa"/>
          </w:tcPr>
          <w:p w:rsidR="00106A2A" w:rsidRPr="00106A2A" w:rsidRDefault="00106A2A" w:rsidP="00106A2A">
            <w:pPr>
              <w:widowControl/>
              <w:rPr>
                <w:b/>
                <w:bCs/>
                <w:i/>
                <w:iCs/>
              </w:rPr>
            </w:pPr>
          </w:p>
        </w:tc>
        <w:tc>
          <w:tcPr>
            <w:tcW w:w="1843" w:type="dxa"/>
          </w:tcPr>
          <w:p w:rsidR="00106A2A" w:rsidRPr="00106A2A" w:rsidRDefault="00106A2A" w:rsidP="00106A2A">
            <w:pPr>
              <w:widowControl/>
              <w:rPr>
                <w:b/>
                <w:bCs/>
                <w:i/>
                <w:iCs/>
              </w:rPr>
            </w:pPr>
          </w:p>
        </w:tc>
      </w:tr>
    </w:tbl>
    <w:p w:rsidR="00106A2A" w:rsidRPr="00106A2A" w:rsidRDefault="00106A2A" w:rsidP="00106A2A">
      <w:pPr>
        <w:keepNext/>
        <w:keepLines/>
        <w:widowControl/>
        <w:spacing w:before="240" w:after="160" w:line="259" w:lineRule="auto"/>
        <w:ind w:left="720" w:hanging="11"/>
        <w:jc w:val="both"/>
        <w:outlineLvl w:val="2"/>
        <w:rPr>
          <w:b/>
          <w:bCs/>
          <w:i/>
          <w:iCs/>
          <w:u w:val="single"/>
          <w:lang w:eastAsia="en-US"/>
        </w:rPr>
      </w:pPr>
      <w:bookmarkStart w:id="20" w:name="_Toc128649690"/>
      <w:r w:rsidRPr="00106A2A">
        <w:rPr>
          <w:b/>
          <w:bCs/>
          <w:i/>
          <w:iCs/>
          <w:lang w:eastAsia="en-US"/>
        </w:rPr>
        <w:t>(iv)</w:t>
      </w:r>
      <w:r w:rsidRPr="00106A2A">
        <w:rPr>
          <w:b/>
          <w:bCs/>
          <w:i/>
          <w:iCs/>
          <w:lang w:eastAsia="en-US"/>
        </w:rPr>
        <w:tab/>
      </w:r>
      <w:r w:rsidRPr="00106A2A">
        <w:rPr>
          <w:rFonts w:eastAsia="Calibri"/>
          <w:b/>
          <w:i/>
          <w:u w:val="single"/>
          <w:lang w:eastAsia="en-US"/>
        </w:rPr>
        <w:t>Обосновка на мерките</w:t>
      </w:r>
      <w:bookmarkEnd w:id="20"/>
    </w:p>
    <w:p w:rsidR="00106A2A" w:rsidRPr="00106A2A" w:rsidRDefault="00106A2A" w:rsidP="00106A2A">
      <w:pPr>
        <w:autoSpaceDE w:val="0"/>
        <w:autoSpaceDN w:val="0"/>
        <w:spacing w:before="120" w:line="360" w:lineRule="auto"/>
        <w:jc w:val="both"/>
        <w:rPr>
          <w:b/>
          <w:bCs/>
          <w:i/>
          <w:iCs/>
          <w:lang w:eastAsia="en-US"/>
        </w:rPr>
      </w:pPr>
      <w:r w:rsidRPr="00106A2A">
        <w:rPr>
          <w:rFonts w:eastAsia="Calibri"/>
          <w:b/>
          <w:i/>
          <w:lang w:eastAsia="en-US"/>
        </w:rPr>
        <w:t>Обосновка за необходимостта от временно пряко подпомагане на доходите въз основа на критериите, определени в член 6, параграф 1 и член 8, параграф 2:</w:t>
      </w:r>
    </w:p>
    <w:p w:rsidR="00106A2A" w:rsidRPr="00106A2A" w:rsidRDefault="00106A2A" w:rsidP="00106A2A">
      <w:pPr>
        <w:widowControl/>
        <w:spacing w:before="240" w:after="160" w:line="360" w:lineRule="auto"/>
        <w:ind w:left="1276" w:hanging="425"/>
        <w:rPr>
          <w:rFonts w:eastAsia="Calibri"/>
          <w:b/>
          <w:bCs/>
          <w:i/>
          <w:iCs/>
          <w:lang w:eastAsia="en-US"/>
        </w:rPr>
      </w:pPr>
      <w:r w:rsidRPr="00106A2A">
        <w:rPr>
          <w:rFonts w:eastAsia="Calibri"/>
          <w:bCs/>
          <w:iCs/>
          <w:lang w:eastAsia="en-US"/>
        </w:rPr>
        <w:t></w:t>
      </w:r>
      <w:r w:rsidRPr="00106A2A">
        <w:rPr>
          <w:rFonts w:eastAsia="Calibri"/>
          <w:bCs/>
          <w:iCs/>
          <w:lang w:eastAsia="en-US"/>
        </w:rPr>
        <w:tab/>
      </w:r>
      <w:r w:rsidRPr="00106A2A">
        <w:rPr>
          <w:rFonts w:eastAsia="Calibri"/>
          <w:b/>
          <w:i/>
          <w:lang w:eastAsia="en-US"/>
        </w:rPr>
        <w:t>Количествена оценка и качествено обяснение на начина, по който се очаква съдържащите се в плана мерки да намалят енергийната и транспортната бедност и уязвимостта на домакинствата и ползвателите на транспорт по отношение на увеличаването на цените на автомобилния транспорт и горивата за отопление;</w:t>
      </w:r>
    </w:p>
    <w:p w:rsidR="00106A2A" w:rsidRPr="00106A2A" w:rsidRDefault="00106A2A" w:rsidP="00106A2A">
      <w:pPr>
        <w:widowControl/>
        <w:spacing w:before="240" w:after="160" w:line="360" w:lineRule="auto"/>
        <w:ind w:left="1276" w:hanging="425"/>
        <w:rPr>
          <w:rFonts w:eastAsia="Calibri"/>
          <w:b/>
          <w:bCs/>
          <w:i/>
          <w:iCs/>
          <w:lang w:eastAsia="en-US"/>
        </w:rPr>
      </w:pPr>
      <w:r w:rsidRPr="00106A2A">
        <w:rPr>
          <w:rFonts w:eastAsia="Calibri"/>
          <w:bCs/>
          <w:iCs/>
          <w:lang w:eastAsia="en-US"/>
        </w:rPr>
        <w:t></w:t>
      </w:r>
      <w:r w:rsidRPr="00106A2A">
        <w:rPr>
          <w:rFonts w:eastAsia="Calibri"/>
          <w:bCs/>
          <w:iCs/>
          <w:lang w:eastAsia="en-US"/>
        </w:rPr>
        <w:tab/>
      </w:r>
      <w:r w:rsidRPr="00106A2A">
        <w:rPr>
          <w:rFonts w:eastAsia="Calibri"/>
          <w:b/>
          <w:i/>
          <w:lang w:eastAsia="en-US"/>
        </w:rPr>
        <w:t>Обосновка на предложения график за намаляване на временното пряко подпомагане на доходите и условията, при които то вече не се прилага;</w:t>
      </w:r>
    </w:p>
    <w:p w:rsidR="00106A2A" w:rsidRPr="00106A2A" w:rsidRDefault="00106A2A" w:rsidP="00106A2A">
      <w:pPr>
        <w:widowControl/>
        <w:spacing w:before="240" w:after="240" w:line="360" w:lineRule="auto"/>
        <w:ind w:left="1276" w:hanging="425"/>
        <w:rPr>
          <w:rFonts w:eastAsia="Calibri"/>
          <w:b/>
          <w:bCs/>
          <w:i/>
          <w:iCs/>
          <w:lang w:eastAsia="en-US"/>
        </w:rPr>
      </w:pPr>
      <w:r w:rsidRPr="00106A2A">
        <w:rPr>
          <w:rFonts w:eastAsia="Calibri"/>
          <w:bCs/>
          <w:iCs/>
          <w:lang w:eastAsia="en-US"/>
        </w:rPr>
        <w:t></w:t>
      </w:r>
      <w:r w:rsidRPr="00106A2A">
        <w:rPr>
          <w:rFonts w:eastAsia="Calibri"/>
          <w:bCs/>
          <w:iCs/>
          <w:lang w:eastAsia="en-US"/>
        </w:rPr>
        <w:tab/>
      </w:r>
      <w:r w:rsidRPr="00106A2A">
        <w:rPr>
          <w:rFonts w:eastAsia="Calibri"/>
          <w:b/>
          <w:i/>
          <w:lang w:eastAsia="en-US"/>
        </w:rPr>
        <w:t>Описание на начина, по който структурните мерки и инвестиции са насочени и към групите получатели, на които се предоставя временно пряко подпомагане на доходите с цел ефективното им извеждане от енергийна и транспортна бедност, и описание на взаимното допълване на временното пряко подпомагане на доходите със структурни мерки и инвестиции в подкрепа на уязвимите домакинства и уязвимите ползватели на транспорт.</w:t>
      </w:r>
    </w:p>
    <w:p w:rsidR="00106A2A" w:rsidRPr="00106A2A" w:rsidRDefault="00106A2A" w:rsidP="00106A2A">
      <w:pPr>
        <w:widowControl/>
        <w:spacing w:before="120" w:after="120" w:line="360" w:lineRule="auto"/>
        <w:rPr>
          <w:rFonts w:eastAsia="Calibri"/>
          <w:b/>
          <w:bCs/>
          <w:i/>
          <w:iCs/>
          <w:lang w:eastAsia="en-US"/>
        </w:rPr>
      </w:pPr>
      <w:r w:rsidRPr="00106A2A">
        <w:rPr>
          <w:rFonts w:eastAsia="Calibri"/>
          <w:lang w:eastAsia="en-US"/>
        </w:rPr>
        <w:br w:type="page"/>
      </w:r>
    </w:p>
    <w:p w:rsidR="00106A2A" w:rsidRPr="00106A2A" w:rsidRDefault="00106A2A" w:rsidP="00106A2A">
      <w:pPr>
        <w:keepNext/>
        <w:keepLines/>
        <w:widowControl/>
        <w:spacing w:before="240" w:after="160" w:line="360" w:lineRule="auto"/>
        <w:ind w:left="720" w:hanging="11"/>
        <w:jc w:val="both"/>
        <w:outlineLvl w:val="2"/>
        <w:rPr>
          <w:b/>
          <w:bCs/>
          <w:i/>
          <w:iCs/>
          <w:u w:val="single"/>
          <w:lang w:eastAsia="en-US"/>
        </w:rPr>
      </w:pPr>
      <w:bookmarkStart w:id="21" w:name="_Toc128649691"/>
      <w:r w:rsidRPr="00106A2A">
        <w:rPr>
          <w:b/>
          <w:bCs/>
          <w:i/>
          <w:iCs/>
          <w:lang w:eastAsia="en-US"/>
        </w:rPr>
        <w:t>(v)</w:t>
      </w:r>
      <w:r w:rsidRPr="00106A2A">
        <w:rPr>
          <w:b/>
          <w:bCs/>
          <w:i/>
          <w:iCs/>
          <w:lang w:eastAsia="en-US"/>
        </w:rPr>
        <w:tab/>
      </w:r>
      <w:r w:rsidRPr="00106A2A">
        <w:rPr>
          <w:rFonts w:eastAsia="Calibri"/>
          <w:b/>
          <w:i/>
          <w:u w:val="single"/>
          <w:lang w:eastAsia="en-US"/>
        </w:rPr>
        <w:t>Разходи за мерките</w:t>
      </w:r>
      <w:bookmarkEnd w:id="21"/>
    </w:p>
    <w:p w:rsidR="00106A2A" w:rsidRPr="00106A2A" w:rsidRDefault="00106A2A" w:rsidP="00106A2A">
      <w:pPr>
        <w:autoSpaceDE w:val="0"/>
        <w:autoSpaceDN w:val="0"/>
        <w:spacing w:before="120" w:after="120" w:line="360" w:lineRule="auto"/>
        <w:jc w:val="both"/>
        <w:rPr>
          <w:b/>
          <w:bCs/>
          <w:i/>
          <w:iCs/>
          <w:lang w:eastAsia="en-US"/>
        </w:rPr>
      </w:pPr>
      <w:r w:rsidRPr="00106A2A">
        <w:rPr>
          <w:rFonts w:eastAsia="Calibri"/>
          <w:b/>
          <w:i/>
          <w:lang w:eastAsia="en-US"/>
        </w:rPr>
        <w:t>Информация за прогнозните общи разходи за компонента, подкрепена с подходяща обосновка, включваща:</w:t>
      </w:r>
    </w:p>
    <w:p w:rsidR="00106A2A" w:rsidRPr="00106A2A" w:rsidRDefault="00106A2A" w:rsidP="00106A2A">
      <w:pPr>
        <w:tabs>
          <w:tab w:val="left" w:pos="1276"/>
        </w:tabs>
        <w:autoSpaceDE w:val="0"/>
        <w:autoSpaceDN w:val="0"/>
        <w:spacing w:before="240" w:after="160" w:line="360" w:lineRule="auto"/>
        <w:ind w:left="1276" w:hanging="425"/>
        <w:rPr>
          <w:rFonts w:eastAsia="Calibri"/>
          <w:b/>
          <w:bCs/>
          <w:i/>
          <w:iCs/>
          <w:lang w:eastAsia="en-US"/>
        </w:rPr>
      </w:pPr>
      <w:r w:rsidRPr="00106A2A">
        <w:rPr>
          <w:rFonts w:eastAsia="Calibri"/>
          <w:bCs/>
          <w:iCs/>
          <w:lang w:eastAsia="en-US"/>
        </w:rPr>
        <w:t></w:t>
      </w:r>
      <w:r w:rsidRPr="00106A2A">
        <w:rPr>
          <w:rFonts w:eastAsia="Calibri"/>
          <w:bCs/>
          <w:iCs/>
          <w:lang w:eastAsia="en-US"/>
        </w:rPr>
        <w:tab/>
      </w:r>
      <w:r w:rsidRPr="00106A2A">
        <w:rPr>
          <w:rFonts w:eastAsia="Calibri"/>
          <w:b/>
          <w:i/>
          <w:lang w:eastAsia="en-US"/>
        </w:rPr>
        <w:t>използваната методология, направените допускания и обосновката на тези допускания;</w:t>
      </w:r>
    </w:p>
    <w:p w:rsidR="00106A2A" w:rsidRPr="00106A2A" w:rsidRDefault="00106A2A" w:rsidP="00106A2A">
      <w:pPr>
        <w:tabs>
          <w:tab w:val="left" w:pos="1276"/>
        </w:tabs>
        <w:autoSpaceDE w:val="0"/>
        <w:autoSpaceDN w:val="0"/>
        <w:spacing w:before="240" w:after="160" w:line="360" w:lineRule="auto"/>
        <w:ind w:left="1276" w:hanging="425"/>
        <w:rPr>
          <w:rFonts w:eastAsia="Calibri"/>
          <w:b/>
          <w:bCs/>
          <w:i/>
          <w:iCs/>
          <w:lang w:eastAsia="en-US"/>
        </w:rPr>
      </w:pPr>
      <w:r w:rsidRPr="00106A2A">
        <w:rPr>
          <w:rFonts w:eastAsia="Calibri"/>
          <w:bCs/>
          <w:iCs/>
          <w:lang w:eastAsia="en-US"/>
        </w:rPr>
        <w:t></w:t>
      </w:r>
      <w:r w:rsidRPr="00106A2A">
        <w:rPr>
          <w:rFonts w:eastAsia="Calibri"/>
          <w:bCs/>
          <w:iCs/>
          <w:lang w:eastAsia="en-US"/>
        </w:rPr>
        <w:tab/>
      </w:r>
      <w:r w:rsidRPr="00106A2A">
        <w:rPr>
          <w:rFonts w:eastAsia="Calibri"/>
          <w:b/>
          <w:i/>
          <w:lang w:eastAsia="en-US"/>
        </w:rPr>
        <w:t>сравнителните данни за действителните разходи, ако подобни мерки за подкрепа са били прилагани в миналото;</w:t>
      </w:r>
    </w:p>
    <w:p w:rsidR="00106A2A" w:rsidRPr="00106A2A" w:rsidRDefault="00106A2A" w:rsidP="00106A2A">
      <w:pPr>
        <w:tabs>
          <w:tab w:val="left" w:pos="1276"/>
        </w:tabs>
        <w:autoSpaceDE w:val="0"/>
        <w:autoSpaceDN w:val="0"/>
        <w:spacing w:before="240" w:after="160" w:line="360" w:lineRule="auto"/>
        <w:ind w:left="1276" w:hanging="425"/>
        <w:rPr>
          <w:rFonts w:eastAsia="Calibri"/>
          <w:b/>
          <w:bCs/>
          <w:i/>
          <w:iCs/>
          <w:lang w:eastAsia="en-US"/>
        </w:rPr>
      </w:pPr>
      <w:r w:rsidRPr="00106A2A">
        <w:rPr>
          <w:rFonts w:eastAsia="Calibri"/>
          <w:bCs/>
          <w:iCs/>
          <w:lang w:eastAsia="en-US"/>
        </w:rPr>
        <w:t></w:t>
      </w:r>
      <w:r w:rsidRPr="00106A2A">
        <w:rPr>
          <w:rFonts w:eastAsia="Calibri"/>
          <w:bCs/>
          <w:iCs/>
          <w:lang w:eastAsia="en-US"/>
        </w:rPr>
        <w:tab/>
      </w:r>
      <w:r w:rsidRPr="00106A2A">
        <w:rPr>
          <w:rFonts w:eastAsia="Calibri"/>
          <w:b/>
          <w:i/>
          <w:lang w:eastAsia="en-US"/>
        </w:rPr>
        <w:t>информация за това какво финансиране от други инструменти на Съюза се предвижда или би могло да се предвиди във връзка със същото подпомагане;</w:t>
      </w:r>
    </w:p>
    <w:p w:rsidR="00106A2A" w:rsidRPr="00106A2A" w:rsidRDefault="00106A2A" w:rsidP="00106A2A">
      <w:pPr>
        <w:tabs>
          <w:tab w:val="left" w:pos="1276"/>
        </w:tabs>
        <w:autoSpaceDE w:val="0"/>
        <w:autoSpaceDN w:val="0"/>
        <w:spacing w:before="165" w:line="360" w:lineRule="auto"/>
        <w:ind w:left="1276" w:hanging="425"/>
        <w:contextualSpacing/>
        <w:rPr>
          <w:b/>
          <w:bCs/>
          <w:i/>
          <w:iCs/>
          <w:lang w:eastAsia="en-US"/>
        </w:rPr>
      </w:pPr>
      <w:r w:rsidRPr="00106A2A">
        <w:rPr>
          <w:bCs/>
          <w:iCs/>
          <w:lang w:eastAsia="en-US"/>
        </w:rPr>
        <w:t></w:t>
      </w:r>
      <w:r w:rsidRPr="00106A2A">
        <w:rPr>
          <w:bCs/>
          <w:iCs/>
          <w:lang w:eastAsia="en-US"/>
        </w:rPr>
        <w:tab/>
      </w:r>
      <w:r w:rsidRPr="00106A2A">
        <w:rPr>
          <w:rFonts w:eastAsia="Calibri"/>
          <w:b/>
          <w:i/>
          <w:lang w:eastAsia="en-US"/>
        </w:rPr>
        <w:t>подходяща подробна обосновка за надеждността и основателността на прогнозните разходи, включително всички използвани данни или доказателства, приложени към плана.</w:t>
      </w:r>
    </w:p>
    <w:p w:rsidR="00106A2A" w:rsidRPr="00106A2A" w:rsidRDefault="00106A2A" w:rsidP="00106A2A">
      <w:pPr>
        <w:keepNext/>
        <w:keepLines/>
        <w:widowControl/>
        <w:spacing w:before="240" w:after="160" w:line="360" w:lineRule="auto"/>
        <w:ind w:left="720" w:hanging="11"/>
        <w:jc w:val="both"/>
        <w:outlineLvl w:val="2"/>
        <w:rPr>
          <w:b/>
          <w:bCs/>
          <w:i/>
          <w:iCs/>
          <w:u w:val="single"/>
          <w:lang w:eastAsia="en-US"/>
        </w:rPr>
      </w:pPr>
      <w:bookmarkStart w:id="22" w:name="_Toc128649692"/>
      <w:r w:rsidRPr="00106A2A">
        <w:rPr>
          <w:b/>
          <w:bCs/>
          <w:i/>
          <w:iCs/>
          <w:lang w:eastAsia="en-US"/>
        </w:rPr>
        <w:t>(vi)</w:t>
      </w:r>
      <w:r w:rsidRPr="00106A2A">
        <w:rPr>
          <w:b/>
          <w:bCs/>
          <w:i/>
          <w:iCs/>
          <w:lang w:eastAsia="en-US"/>
        </w:rPr>
        <w:tab/>
      </w:r>
      <w:r w:rsidRPr="00106A2A">
        <w:rPr>
          <w:rFonts w:eastAsia="Calibri"/>
          <w:b/>
          <w:i/>
          <w:u w:val="single"/>
          <w:lang w:eastAsia="en-US"/>
        </w:rPr>
        <w:t>Обосновка за субектите бенефициери, различни от уязвими домакинства и уязвими ползватели на транспорт (ако е приложимо)</w:t>
      </w:r>
      <w:bookmarkEnd w:id="22"/>
    </w:p>
    <w:p w:rsidR="00106A2A" w:rsidRPr="00106A2A" w:rsidRDefault="00106A2A" w:rsidP="00106A2A">
      <w:pPr>
        <w:widowControl/>
        <w:spacing w:before="120" w:after="160" w:line="360" w:lineRule="auto"/>
        <w:rPr>
          <w:rFonts w:eastAsia="Calibri"/>
          <w:b/>
          <w:bCs/>
          <w:i/>
          <w:iCs/>
          <w:lang w:eastAsia="en-US"/>
        </w:rPr>
      </w:pPr>
      <w:r w:rsidRPr="00106A2A">
        <w:rPr>
          <w:rFonts w:eastAsia="Calibri"/>
          <w:b/>
          <w:i/>
          <w:lang w:eastAsia="en-US"/>
        </w:rPr>
        <w:t>Ако подпомагането от Фонда се предоставя чрез публични или частни субекти, различни от уязвими домакинства или уязвими ползватели на транспорт, обяснение на видовете мерки, които тези субекти ще въведат и как в крайна сметка тези мерки ще бъдат в полза на уязвимите домакинства или уязвимите ползватели на транспорт.</w:t>
      </w:r>
    </w:p>
    <w:p w:rsidR="00106A2A" w:rsidRPr="00106A2A" w:rsidRDefault="00106A2A" w:rsidP="00106A2A">
      <w:pPr>
        <w:widowControl/>
        <w:spacing w:before="120" w:after="160" w:line="360" w:lineRule="auto"/>
        <w:rPr>
          <w:rFonts w:eastAsia="Calibri"/>
          <w:b/>
          <w:bCs/>
          <w:i/>
          <w:iCs/>
          <w:lang w:eastAsia="en-US"/>
        </w:rPr>
      </w:pPr>
      <w:r w:rsidRPr="00106A2A">
        <w:rPr>
          <w:rFonts w:eastAsia="Calibri"/>
          <w:b/>
          <w:i/>
          <w:lang w:eastAsia="en-US"/>
        </w:rPr>
        <w:t>Ако подпомагането от Фонда се предоставя чрез финансови посредници, описание на мерките, които държавата членка възнамерява да приеме, за да гарантира, че финансовите посредници прехвърлят всички ползи на крайните получатели.</w:t>
      </w:r>
    </w:p>
    <w:p w:rsidR="00106A2A" w:rsidRPr="00106A2A" w:rsidRDefault="00106A2A" w:rsidP="00106A2A">
      <w:pPr>
        <w:widowControl/>
        <w:spacing w:before="120" w:after="120" w:line="360" w:lineRule="auto"/>
        <w:rPr>
          <w:rFonts w:eastAsia="Calibri"/>
          <w:b/>
          <w:bCs/>
          <w:i/>
          <w:iCs/>
          <w:lang w:eastAsia="en-US"/>
        </w:rPr>
      </w:pPr>
      <w:r w:rsidRPr="00106A2A">
        <w:rPr>
          <w:rFonts w:eastAsia="Calibri"/>
          <w:lang w:eastAsia="en-US"/>
        </w:rPr>
        <w:br w:type="page"/>
      </w:r>
    </w:p>
    <w:p w:rsidR="00106A2A" w:rsidRPr="00106A2A" w:rsidRDefault="00106A2A" w:rsidP="00106A2A">
      <w:pPr>
        <w:keepNext/>
        <w:keepLines/>
        <w:widowControl/>
        <w:spacing w:before="240" w:after="160" w:line="259" w:lineRule="auto"/>
        <w:ind w:left="720" w:hanging="11"/>
        <w:jc w:val="both"/>
        <w:outlineLvl w:val="2"/>
        <w:rPr>
          <w:b/>
          <w:bCs/>
          <w:i/>
          <w:iCs/>
          <w:u w:val="single"/>
          <w:lang w:eastAsia="en-US"/>
        </w:rPr>
      </w:pPr>
      <w:bookmarkStart w:id="23" w:name="_Toc128649693"/>
      <w:r w:rsidRPr="00106A2A">
        <w:rPr>
          <w:b/>
          <w:bCs/>
          <w:i/>
          <w:iCs/>
          <w:lang w:eastAsia="en-US"/>
        </w:rPr>
        <w:t>(vii)</w:t>
      </w:r>
      <w:r w:rsidRPr="00106A2A">
        <w:rPr>
          <w:b/>
          <w:bCs/>
          <w:i/>
          <w:iCs/>
          <w:lang w:eastAsia="en-US"/>
        </w:rPr>
        <w:tab/>
      </w:r>
      <w:r w:rsidRPr="00106A2A">
        <w:rPr>
          <w:rFonts w:eastAsia="Calibri"/>
          <w:b/>
          <w:i/>
          <w:u w:val="single"/>
          <w:lang w:eastAsia="en-US"/>
        </w:rPr>
        <w:t>Прогнозни разходи в Плана за компонента за временно пряко подпомагане на доходите</w:t>
      </w:r>
      <w:bookmarkEnd w:id="23"/>
    </w:p>
    <w:p w:rsidR="00106A2A" w:rsidRPr="00106A2A" w:rsidRDefault="00106A2A" w:rsidP="00106A2A">
      <w:pPr>
        <w:widowControl/>
        <w:spacing w:before="120" w:after="160" w:line="360" w:lineRule="auto"/>
        <w:rPr>
          <w:rFonts w:eastAsia="Calibri"/>
          <w:b/>
          <w:bCs/>
          <w:i/>
          <w:iCs/>
          <w:lang w:eastAsia="en-US"/>
        </w:rPr>
      </w:pPr>
      <w:r w:rsidRPr="00106A2A">
        <w:rPr>
          <w:rFonts w:eastAsia="Calibri"/>
          <w:b/>
          <w:i/>
          <w:lang w:eastAsia="en-US"/>
        </w:rPr>
        <w:t>Попълване на таблицата за прогнозните разходи за подпомагането, включени в компонента, като образецът е предоставен по-долу:</w:t>
      </w:r>
    </w:p>
    <w:p w:rsidR="00106A2A" w:rsidRPr="00106A2A" w:rsidRDefault="00106A2A" w:rsidP="00106A2A">
      <w:pPr>
        <w:autoSpaceDE w:val="0"/>
        <w:autoSpaceDN w:val="0"/>
        <w:spacing w:before="160" w:line="256" w:lineRule="auto"/>
        <w:jc w:val="both"/>
        <w:outlineLvl w:val="2"/>
        <w:rPr>
          <w:b/>
          <w:bCs/>
          <w:i/>
          <w:iCs/>
          <w:lang w:bidi="en-GB"/>
        </w:rPr>
      </w:pPr>
    </w:p>
    <w:tbl>
      <w:tblPr>
        <w:tblStyle w:val="TableGrid1"/>
        <w:tblW w:w="11153" w:type="dxa"/>
        <w:tblInd w:w="-685" w:type="dxa"/>
        <w:tblLook w:val="04A0" w:firstRow="1" w:lastRow="0" w:firstColumn="1" w:lastColumn="0" w:noHBand="0" w:noVBand="1"/>
      </w:tblPr>
      <w:tblGrid>
        <w:gridCol w:w="1115"/>
        <w:gridCol w:w="1628"/>
        <w:gridCol w:w="1015"/>
        <w:gridCol w:w="925"/>
        <w:gridCol w:w="1488"/>
        <w:gridCol w:w="705"/>
        <w:gridCol w:w="708"/>
        <w:gridCol w:w="851"/>
        <w:gridCol w:w="850"/>
        <w:gridCol w:w="709"/>
        <w:gridCol w:w="709"/>
        <w:gridCol w:w="808"/>
      </w:tblGrid>
      <w:tr w:rsidR="00106A2A" w:rsidRPr="00106A2A" w:rsidTr="006919B6">
        <w:trPr>
          <w:trHeight w:val="804"/>
        </w:trPr>
        <w:tc>
          <w:tcPr>
            <w:tcW w:w="897" w:type="dxa"/>
            <w:vMerge w:val="restart"/>
            <w:hideMark/>
          </w:tcPr>
          <w:p w:rsidR="00106A2A" w:rsidRPr="00106A2A" w:rsidRDefault="00106A2A" w:rsidP="00106A2A">
            <w:pPr>
              <w:widowControl/>
              <w:rPr>
                <w:b/>
                <w:bCs/>
                <w:i/>
                <w:iCs/>
              </w:rPr>
            </w:pPr>
            <w:r w:rsidRPr="00106A2A">
              <w:rPr>
                <w:b/>
                <w:i/>
              </w:rPr>
              <w:t>Пореден номер</w:t>
            </w:r>
          </w:p>
        </w:tc>
        <w:tc>
          <w:tcPr>
            <w:tcW w:w="1488" w:type="dxa"/>
            <w:vMerge w:val="restart"/>
            <w:hideMark/>
          </w:tcPr>
          <w:p w:rsidR="00106A2A" w:rsidRPr="00106A2A" w:rsidRDefault="00106A2A" w:rsidP="00106A2A">
            <w:pPr>
              <w:widowControl/>
              <w:rPr>
                <w:b/>
                <w:bCs/>
                <w:i/>
                <w:iCs/>
              </w:rPr>
            </w:pPr>
            <w:r w:rsidRPr="00106A2A">
              <w:rPr>
                <w:b/>
                <w:i/>
              </w:rPr>
              <w:t>Вид подпомагане</w:t>
            </w:r>
          </w:p>
        </w:tc>
        <w:tc>
          <w:tcPr>
            <w:tcW w:w="1940" w:type="dxa"/>
            <w:gridSpan w:val="2"/>
            <w:vMerge w:val="restart"/>
            <w:hideMark/>
          </w:tcPr>
          <w:p w:rsidR="00106A2A" w:rsidRPr="00106A2A" w:rsidRDefault="00106A2A" w:rsidP="00106A2A">
            <w:pPr>
              <w:widowControl/>
              <w:rPr>
                <w:b/>
                <w:bCs/>
                <w:i/>
                <w:iCs/>
              </w:rPr>
            </w:pPr>
            <w:r w:rsidRPr="00106A2A">
              <w:rPr>
                <w:b/>
                <w:i/>
              </w:rPr>
              <w:t>Период</w:t>
            </w:r>
          </w:p>
        </w:tc>
        <w:tc>
          <w:tcPr>
            <w:tcW w:w="6828" w:type="dxa"/>
            <w:gridSpan w:val="8"/>
            <w:hideMark/>
          </w:tcPr>
          <w:p w:rsidR="00106A2A" w:rsidRPr="00106A2A" w:rsidRDefault="00106A2A" w:rsidP="00106A2A">
            <w:pPr>
              <w:widowControl/>
              <w:rPr>
                <w:b/>
                <w:bCs/>
                <w:i/>
                <w:iCs/>
              </w:rPr>
            </w:pPr>
            <w:r w:rsidRPr="00106A2A">
              <w:rPr>
                <w:b/>
                <w:i/>
              </w:rPr>
              <w:t>Прогнозни разходи, за които се иска финансиране от Фонда</w:t>
            </w:r>
          </w:p>
        </w:tc>
      </w:tr>
      <w:tr w:rsidR="00106A2A" w:rsidRPr="00106A2A" w:rsidTr="006919B6">
        <w:trPr>
          <w:trHeight w:val="312"/>
        </w:trPr>
        <w:tc>
          <w:tcPr>
            <w:tcW w:w="897" w:type="dxa"/>
            <w:vMerge/>
            <w:hideMark/>
          </w:tcPr>
          <w:p w:rsidR="00106A2A" w:rsidRPr="00106A2A" w:rsidRDefault="00106A2A" w:rsidP="00106A2A">
            <w:pPr>
              <w:widowControl/>
              <w:rPr>
                <w:b/>
                <w:bCs/>
                <w:i/>
                <w:iCs/>
              </w:rPr>
            </w:pPr>
          </w:p>
        </w:tc>
        <w:tc>
          <w:tcPr>
            <w:tcW w:w="1488" w:type="dxa"/>
            <w:vMerge/>
            <w:hideMark/>
          </w:tcPr>
          <w:p w:rsidR="00106A2A" w:rsidRPr="00106A2A" w:rsidRDefault="00106A2A" w:rsidP="00106A2A">
            <w:pPr>
              <w:widowControl/>
              <w:rPr>
                <w:b/>
                <w:bCs/>
                <w:i/>
                <w:iCs/>
              </w:rPr>
            </w:pPr>
          </w:p>
        </w:tc>
        <w:tc>
          <w:tcPr>
            <w:tcW w:w="1940" w:type="dxa"/>
            <w:gridSpan w:val="2"/>
            <w:vMerge/>
            <w:hideMark/>
          </w:tcPr>
          <w:p w:rsidR="00106A2A" w:rsidRPr="00106A2A" w:rsidRDefault="00106A2A" w:rsidP="00106A2A">
            <w:pPr>
              <w:widowControl/>
              <w:rPr>
                <w:b/>
                <w:bCs/>
                <w:i/>
                <w:iCs/>
              </w:rPr>
            </w:pPr>
          </w:p>
        </w:tc>
        <w:tc>
          <w:tcPr>
            <w:tcW w:w="1488" w:type="dxa"/>
            <w:hideMark/>
          </w:tcPr>
          <w:p w:rsidR="00106A2A" w:rsidRPr="00106A2A" w:rsidRDefault="00106A2A" w:rsidP="00106A2A">
            <w:pPr>
              <w:widowControl/>
              <w:rPr>
                <w:b/>
                <w:bCs/>
                <w:i/>
                <w:iCs/>
              </w:rPr>
            </w:pPr>
            <w:r w:rsidRPr="00106A2A">
              <w:rPr>
                <w:b/>
                <w:i/>
              </w:rPr>
              <w:t>Обща поискана сума</w:t>
            </w:r>
          </w:p>
        </w:tc>
        <w:tc>
          <w:tcPr>
            <w:tcW w:w="5340" w:type="dxa"/>
            <w:gridSpan w:val="7"/>
            <w:hideMark/>
          </w:tcPr>
          <w:p w:rsidR="00106A2A" w:rsidRPr="00106A2A" w:rsidRDefault="00106A2A" w:rsidP="00106A2A">
            <w:pPr>
              <w:widowControl/>
              <w:rPr>
                <w:b/>
                <w:bCs/>
                <w:i/>
                <w:iCs/>
              </w:rPr>
            </w:pPr>
            <w:r w:rsidRPr="00106A2A">
              <w:rPr>
                <w:b/>
                <w:i/>
              </w:rPr>
              <w:t>Разбивка по години, ако е налице</w:t>
            </w:r>
          </w:p>
        </w:tc>
      </w:tr>
      <w:tr w:rsidR="00106A2A" w:rsidRPr="00106A2A" w:rsidTr="006919B6">
        <w:trPr>
          <w:trHeight w:val="798"/>
        </w:trPr>
        <w:tc>
          <w:tcPr>
            <w:tcW w:w="897" w:type="dxa"/>
            <w:vMerge/>
            <w:hideMark/>
          </w:tcPr>
          <w:p w:rsidR="00106A2A" w:rsidRPr="00106A2A" w:rsidRDefault="00106A2A" w:rsidP="00106A2A">
            <w:pPr>
              <w:widowControl/>
              <w:rPr>
                <w:b/>
                <w:bCs/>
                <w:i/>
                <w:iCs/>
              </w:rPr>
            </w:pPr>
          </w:p>
        </w:tc>
        <w:tc>
          <w:tcPr>
            <w:tcW w:w="1488" w:type="dxa"/>
            <w:vMerge/>
            <w:hideMark/>
          </w:tcPr>
          <w:p w:rsidR="00106A2A" w:rsidRPr="00106A2A" w:rsidRDefault="00106A2A" w:rsidP="00106A2A">
            <w:pPr>
              <w:widowControl/>
              <w:rPr>
                <w:b/>
                <w:bCs/>
                <w:i/>
                <w:iCs/>
              </w:rPr>
            </w:pPr>
          </w:p>
        </w:tc>
        <w:tc>
          <w:tcPr>
            <w:tcW w:w="1015" w:type="dxa"/>
            <w:hideMark/>
          </w:tcPr>
          <w:p w:rsidR="00106A2A" w:rsidRPr="00106A2A" w:rsidRDefault="00106A2A" w:rsidP="00106A2A">
            <w:pPr>
              <w:widowControl/>
              <w:rPr>
                <w:b/>
                <w:bCs/>
                <w:i/>
                <w:iCs/>
              </w:rPr>
            </w:pPr>
            <w:r w:rsidRPr="00106A2A">
              <w:rPr>
                <w:b/>
                <w:i/>
              </w:rPr>
              <w:t>От дата</w:t>
            </w:r>
          </w:p>
        </w:tc>
        <w:tc>
          <w:tcPr>
            <w:tcW w:w="925" w:type="dxa"/>
            <w:hideMark/>
          </w:tcPr>
          <w:p w:rsidR="00106A2A" w:rsidRPr="00106A2A" w:rsidRDefault="00106A2A" w:rsidP="00106A2A">
            <w:pPr>
              <w:widowControl/>
              <w:rPr>
                <w:b/>
                <w:bCs/>
                <w:i/>
                <w:iCs/>
              </w:rPr>
            </w:pPr>
            <w:r w:rsidRPr="00106A2A">
              <w:rPr>
                <w:b/>
                <w:i/>
              </w:rPr>
              <w:t>До дата</w:t>
            </w:r>
          </w:p>
        </w:tc>
        <w:tc>
          <w:tcPr>
            <w:tcW w:w="1488" w:type="dxa"/>
            <w:hideMark/>
          </w:tcPr>
          <w:p w:rsidR="00106A2A" w:rsidRPr="00106A2A" w:rsidRDefault="00106A2A" w:rsidP="00106A2A">
            <w:pPr>
              <w:widowControl/>
              <w:rPr>
                <w:b/>
                <w:bCs/>
                <w:i/>
                <w:iCs/>
              </w:rPr>
            </w:pPr>
            <w:r w:rsidRPr="00106A2A">
              <w:rPr>
                <w:b/>
                <w:i/>
              </w:rPr>
              <w:t>Сума (млн. EUR)</w:t>
            </w:r>
          </w:p>
          <w:p w:rsidR="00106A2A" w:rsidRPr="00106A2A" w:rsidRDefault="00106A2A" w:rsidP="00106A2A">
            <w:pPr>
              <w:widowControl/>
              <w:rPr>
                <w:b/>
                <w:bCs/>
                <w:i/>
                <w:iCs/>
              </w:rPr>
            </w:pPr>
          </w:p>
        </w:tc>
        <w:tc>
          <w:tcPr>
            <w:tcW w:w="705" w:type="dxa"/>
            <w:hideMark/>
          </w:tcPr>
          <w:p w:rsidR="00106A2A" w:rsidRPr="00106A2A" w:rsidRDefault="00106A2A" w:rsidP="00106A2A">
            <w:pPr>
              <w:widowControl/>
              <w:rPr>
                <w:b/>
                <w:bCs/>
                <w:i/>
                <w:iCs/>
              </w:rPr>
            </w:pPr>
            <w:r w:rsidRPr="00106A2A">
              <w:rPr>
                <w:b/>
                <w:i/>
              </w:rPr>
              <w:t>2026 г.</w:t>
            </w:r>
          </w:p>
        </w:tc>
        <w:tc>
          <w:tcPr>
            <w:tcW w:w="708" w:type="dxa"/>
            <w:hideMark/>
          </w:tcPr>
          <w:p w:rsidR="00106A2A" w:rsidRPr="00106A2A" w:rsidRDefault="00106A2A" w:rsidP="00106A2A">
            <w:pPr>
              <w:widowControl/>
              <w:rPr>
                <w:b/>
                <w:bCs/>
                <w:i/>
                <w:iCs/>
              </w:rPr>
            </w:pPr>
            <w:r w:rsidRPr="00106A2A">
              <w:rPr>
                <w:b/>
                <w:i/>
              </w:rPr>
              <w:t>2027 г.</w:t>
            </w:r>
          </w:p>
        </w:tc>
        <w:tc>
          <w:tcPr>
            <w:tcW w:w="851" w:type="dxa"/>
            <w:hideMark/>
          </w:tcPr>
          <w:p w:rsidR="00106A2A" w:rsidRPr="00106A2A" w:rsidRDefault="00106A2A" w:rsidP="00106A2A">
            <w:pPr>
              <w:widowControl/>
              <w:rPr>
                <w:b/>
                <w:bCs/>
                <w:i/>
                <w:iCs/>
              </w:rPr>
            </w:pPr>
            <w:r w:rsidRPr="00106A2A">
              <w:rPr>
                <w:b/>
                <w:i/>
              </w:rPr>
              <w:t>2028 г.</w:t>
            </w:r>
          </w:p>
        </w:tc>
        <w:tc>
          <w:tcPr>
            <w:tcW w:w="850" w:type="dxa"/>
            <w:hideMark/>
          </w:tcPr>
          <w:p w:rsidR="00106A2A" w:rsidRPr="00106A2A" w:rsidRDefault="00106A2A" w:rsidP="00106A2A">
            <w:pPr>
              <w:widowControl/>
              <w:rPr>
                <w:b/>
                <w:bCs/>
                <w:i/>
                <w:iCs/>
              </w:rPr>
            </w:pPr>
            <w:r w:rsidRPr="00106A2A">
              <w:rPr>
                <w:b/>
                <w:i/>
              </w:rPr>
              <w:t>2029 г.</w:t>
            </w:r>
          </w:p>
        </w:tc>
        <w:tc>
          <w:tcPr>
            <w:tcW w:w="709" w:type="dxa"/>
            <w:hideMark/>
          </w:tcPr>
          <w:p w:rsidR="00106A2A" w:rsidRPr="00106A2A" w:rsidRDefault="00106A2A" w:rsidP="00106A2A">
            <w:pPr>
              <w:widowControl/>
              <w:rPr>
                <w:b/>
                <w:bCs/>
                <w:i/>
                <w:iCs/>
              </w:rPr>
            </w:pPr>
            <w:r w:rsidRPr="00106A2A">
              <w:rPr>
                <w:b/>
                <w:i/>
              </w:rPr>
              <w:t>2030 г.</w:t>
            </w:r>
          </w:p>
        </w:tc>
        <w:tc>
          <w:tcPr>
            <w:tcW w:w="709" w:type="dxa"/>
            <w:hideMark/>
          </w:tcPr>
          <w:p w:rsidR="00106A2A" w:rsidRPr="00106A2A" w:rsidRDefault="00106A2A" w:rsidP="00106A2A">
            <w:pPr>
              <w:widowControl/>
              <w:rPr>
                <w:b/>
                <w:bCs/>
                <w:i/>
                <w:iCs/>
              </w:rPr>
            </w:pPr>
            <w:r w:rsidRPr="00106A2A">
              <w:rPr>
                <w:b/>
                <w:i/>
              </w:rPr>
              <w:t>2031 г.</w:t>
            </w:r>
          </w:p>
        </w:tc>
        <w:tc>
          <w:tcPr>
            <w:tcW w:w="808" w:type="dxa"/>
            <w:hideMark/>
          </w:tcPr>
          <w:p w:rsidR="00106A2A" w:rsidRPr="00106A2A" w:rsidRDefault="00106A2A" w:rsidP="00106A2A">
            <w:pPr>
              <w:widowControl/>
              <w:rPr>
                <w:b/>
                <w:bCs/>
                <w:i/>
                <w:iCs/>
              </w:rPr>
            </w:pPr>
            <w:r w:rsidRPr="00106A2A">
              <w:rPr>
                <w:b/>
                <w:i/>
              </w:rPr>
              <w:t>2032 г.</w:t>
            </w:r>
          </w:p>
        </w:tc>
      </w:tr>
      <w:tr w:rsidR="00106A2A" w:rsidRPr="00106A2A" w:rsidTr="006919B6">
        <w:trPr>
          <w:trHeight w:val="300"/>
        </w:trPr>
        <w:tc>
          <w:tcPr>
            <w:tcW w:w="897" w:type="dxa"/>
            <w:noWrap/>
            <w:hideMark/>
          </w:tcPr>
          <w:p w:rsidR="00106A2A" w:rsidRPr="00106A2A" w:rsidRDefault="00106A2A" w:rsidP="00106A2A">
            <w:pPr>
              <w:widowControl/>
              <w:rPr>
                <w:b/>
                <w:bCs/>
                <w:i/>
                <w:iCs/>
              </w:rPr>
            </w:pPr>
          </w:p>
        </w:tc>
        <w:tc>
          <w:tcPr>
            <w:tcW w:w="1488" w:type="dxa"/>
            <w:noWrap/>
            <w:hideMark/>
          </w:tcPr>
          <w:p w:rsidR="00106A2A" w:rsidRPr="00106A2A" w:rsidRDefault="00106A2A" w:rsidP="00106A2A">
            <w:pPr>
              <w:widowControl/>
              <w:rPr>
                <w:b/>
                <w:bCs/>
                <w:i/>
                <w:iCs/>
              </w:rPr>
            </w:pPr>
          </w:p>
        </w:tc>
        <w:tc>
          <w:tcPr>
            <w:tcW w:w="1015" w:type="dxa"/>
            <w:noWrap/>
            <w:hideMark/>
          </w:tcPr>
          <w:p w:rsidR="00106A2A" w:rsidRPr="00106A2A" w:rsidRDefault="00106A2A" w:rsidP="00106A2A">
            <w:pPr>
              <w:widowControl/>
              <w:rPr>
                <w:b/>
                <w:bCs/>
                <w:i/>
                <w:iCs/>
              </w:rPr>
            </w:pPr>
          </w:p>
        </w:tc>
        <w:tc>
          <w:tcPr>
            <w:tcW w:w="925" w:type="dxa"/>
            <w:noWrap/>
            <w:hideMark/>
          </w:tcPr>
          <w:p w:rsidR="00106A2A" w:rsidRPr="00106A2A" w:rsidRDefault="00106A2A" w:rsidP="00106A2A">
            <w:pPr>
              <w:widowControl/>
              <w:rPr>
                <w:b/>
                <w:bCs/>
                <w:i/>
                <w:iCs/>
              </w:rPr>
            </w:pPr>
          </w:p>
        </w:tc>
        <w:tc>
          <w:tcPr>
            <w:tcW w:w="1488" w:type="dxa"/>
            <w:noWrap/>
            <w:hideMark/>
          </w:tcPr>
          <w:p w:rsidR="00106A2A" w:rsidRPr="00106A2A" w:rsidRDefault="00106A2A" w:rsidP="00106A2A">
            <w:pPr>
              <w:widowControl/>
              <w:rPr>
                <w:b/>
                <w:bCs/>
                <w:i/>
                <w:iCs/>
              </w:rPr>
            </w:pPr>
          </w:p>
        </w:tc>
        <w:tc>
          <w:tcPr>
            <w:tcW w:w="705" w:type="dxa"/>
            <w:noWrap/>
            <w:hideMark/>
          </w:tcPr>
          <w:p w:rsidR="00106A2A" w:rsidRPr="00106A2A" w:rsidRDefault="00106A2A" w:rsidP="00106A2A">
            <w:pPr>
              <w:widowControl/>
              <w:rPr>
                <w:b/>
                <w:bCs/>
                <w:i/>
                <w:iCs/>
              </w:rPr>
            </w:pPr>
          </w:p>
        </w:tc>
        <w:tc>
          <w:tcPr>
            <w:tcW w:w="708" w:type="dxa"/>
            <w:noWrap/>
            <w:hideMark/>
          </w:tcPr>
          <w:p w:rsidR="00106A2A" w:rsidRPr="00106A2A" w:rsidRDefault="00106A2A" w:rsidP="00106A2A">
            <w:pPr>
              <w:widowControl/>
              <w:rPr>
                <w:b/>
                <w:bCs/>
                <w:i/>
                <w:iCs/>
              </w:rPr>
            </w:pPr>
          </w:p>
        </w:tc>
        <w:tc>
          <w:tcPr>
            <w:tcW w:w="851" w:type="dxa"/>
            <w:noWrap/>
            <w:hideMark/>
          </w:tcPr>
          <w:p w:rsidR="00106A2A" w:rsidRPr="00106A2A" w:rsidRDefault="00106A2A" w:rsidP="00106A2A">
            <w:pPr>
              <w:widowControl/>
              <w:rPr>
                <w:b/>
                <w:bCs/>
                <w:i/>
                <w:iCs/>
              </w:rPr>
            </w:pPr>
          </w:p>
        </w:tc>
        <w:tc>
          <w:tcPr>
            <w:tcW w:w="850" w:type="dxa"/>
            <w:noWrap/>
            <w:hideMark/>
          </w:tcPr>
          <w:p w:rsidR="00106A2A" w:rsidRPr="00106A2A" w:rsidRDefault="00106A2A" w:rsidP="00106A2A">
            <w:pPr>
              <w:widowControl/>
              <w:rPr>
                <w:b/>
                <w:bCs/>
                <w:i/>
                <w:iCs/>
              </w:rPr>
            </w:pPr>
          </w:p>
        </w:tc>
        <w:tc>
          <w:tcPr>
            <w:tcW w:w="709" w:type="dxa"/>
            <w:noWrap/>
            <w:hideMark/>
          </w:tcPr>
          <w:p w:rsidR="00106A2A" w:rsidRPr="00106A2A" w:rsidRDefault="00106A2A" w:rsidP="00106A2A">
            <w:pPr>
              <w:widowControl/>
              <w:rPr>
                <w:b/>
                <w:bCs/>
                <w:i/>
                <w:iCs/>
              </w:rPr>
            </w:pPr>
          </w:p>
        </w:tc>
        <w:tc>
          <w:tcPr>
            <w:tcW w:w="709" w:type="dxa"/>
            <w:noWrap/>
            <w:hideMark/>
          </w:tcPr>
          <w:p w:rsidR="00106A2A" w:rsidRPr="00106A2A" w:rsidRDefault="00106A2A" w:rsidP="00106A2A">
            <w:pPr>
              <w:widowControl/>
              <w:rPr>
                <w:b/>
                <w:bCs/>
                <w:i/>
                <w:iCs/>
              </w:rPr>
            </w:pPr>
          </w:p>
        </w:tc>
        <w:tc>
          <w:tcPr>
            <w:tcW w:w="808" w:type="dxa"/>
            <w:noWrap/>
            <w:hideMark/>
          </w:tcPr>
          <w:p w:rsidR="00106A2A" w:rsidRPr="00106A2A" w:rsidRDefault="00106A2A" w:rsidP="00106A2A">
            <w:pPr>
              <w:widowControl/>
              <w:rPr>
                <w:b/>
                <w:bCs/>
                <w:i/>
                <w:iCs/>
              </w:rPr>
            </w:pPr>
          </w:p>
        </w:tc>
      </w:tr>
    </w:tbl>
    <w:p w:rsidR="00106A2A" w:rsidRPr="00106A2A" w:rsidRDefault="00106A2A" w:rsidP="00106A2A">
      <w:pPr>
        <w:widowControl/>
        <w:spacing w:before="120" w:after="160" w:line="259" w:lineRule="auto"/>
        <w:jc w:val="both"/>
        <w:rPr>
          <w:rFonts w:eastAsia="Calibri"/>
          <w:b/>
          <w:bCs/>
          <w:i/>
          <w:iCs/>
          <w:lang w:eastAsia="en-US"/>
        </w:rPr>
      </w:pPr>
    </w:p>
    <w:p w:rsidR="00106A2A" w:rsidRPr="00106A2A" w:rsidRDefault="00106A2A" w:rsidP="00106A2A">
      <w:pPr>
        <w:keepNext/>
        <w:keepLines/>
        <w:widowControl/>
        <w:spacing w:before="240" w:after="160" w:line="259" w:lineRule="auto"/>
        <w:ind w:left="720" w:hanging="11"/>
        <w:jc w:val="both"/>
        <w:outlineLvl w:val="2"/>
        <w:rPr>
          <w:b/>
          <w:bCs/>
          <w:i/>
          <w:iCs/>
          <w:u w:val="single"/>
          <w:lang w:eastAsia="en-US"/>
        </w:rPr>
      </w:pPr>
      <w:bookmarkStart w:id="24" w:name="_Toc128649694"/>
      <w:r w:rsidRPr="00106A2A">
        <w:rPr>
          <w:b/>
          <w:bCs/>
          <w:i/>
          <w:iCs/>
          <w:lang w:eastAsia="en-US"/>
        </w:rPr>
        <w:t>(viii)</w:t>
      </w:r>
      <w:r w:rsidRPr="00106A2A">
        <w:rPr>
          <w:b/>
          <w:bCs/>
          <w:i/>
          <w:iCs/>
          <w:lang w:eastAsia="en-US"/>
        </w:rPr>
        <w:tab/>
      </w:r>
      <w:r w:rsidRPr="00106A2A">
        <w:rPr>
          <w:rFonts w:eastAsia="Calibri"/>
          <w:b/>
          <w:i/>
          <w:u w:val="single"/>
          <w:lang w:eastAsia="en-US"/>
        </w:rPr>
        <w:t>Сценарий в случай на по-късно задействане на системата за търговия с емисии</w:t>
      </w:r>
      <w:bookmarkEnd w:id="24"/>
    </w:p>
    <w:p w:rsidR="00106A2A" w:rsidRPr="00106A2A" w:rsidRDefault="00106A2A" w:rsidP="00106A2A">
      <w:pPr>
        <w:widowControl/>
        <w:spacing w:before="120" w:after="160" w:line="360" w:lineRule="auto"/>
        <w:rPr>
          <w:rFonts w:eastAsia="Calibri"/>
          <w:b/>
          <w:bCs/>
          <w:i/>
          <w:iCs/>
          <w:lang w:eastAsia="en-US"/>
        </w:rPr>
      </w:pPr>
      <w:r w:rsidRPr="00106A2A">
        <w:rPr>
          <w:rFonts w:eastAsia="Calibri"/>
          <w:b/>
          <w:i/>
          <w:lang w:eastAsia="en-US"/>
        </w:rPr>
        <w:t>Описание и количествено определяне на необходимите корекции на мерките, инвестициите, междинните цели, целевите стойности, размера на националния принос и всеки друг имащ отношение елемент от плана, произтичащи от отлагането на задействането на системата за търговия с емисии, установена съгласно глава IVa от Директива 2003/87/ЕО, в съответствие с член 30к от посочената директива.</w:t>
      </w:r>
    </w:p>
    <w:p w:rsidR="00106A2A" w:rsidRPr="00106A2A" w:rsidRDefault="00106A2A" w:rsidP="00106A2A">
      <w:pPr>
        <w:widowControl/>
        <w:spacing w:before="120" w:after="160" w:line="360" w:lineRule="auto"/>
        <w:rPr>
          <w:rFonts w:eastAsia="Calibri"/>
          <w:b/>
          <w:bCs/>
          <w:i/>
          <w:iCs/>
          <w:lang w:eastAsia="en-US"/>
        </w:rPr>
      </w:pPr>
      <w:r w:rsidRPr="00106A2A">
        <w:rPr>
          <w:rFonts w:eastAsia="Calibri"/>
          <w:b/>
          <w:i/>
          <w:lang w:eastAsia="en-US"/>
        </w:rPr>
        <w:t>Представете отделна версия на резюмето, таблицата с междинните цели, целевите стойности и графика и таблицата с прогнозните разходи.</w:t>
      </w:r>
    </w:p>
    <w:p w:rsidR="00106A2A" w:rsidRPr="00106A2A" w:rsidRDefault="00106A2A" w:rsidP="00106A2A">
      <w:pPr>
        <w:widowControl/>
        <w:spacing w:before="120" w:after="120" w:line="360" w:lineRule="auto"/>
        <w:rPr>
          <w:rFonts w:eastAsia="Calibri"/>
          <w:b/>
          <w:bCs/>
          <w:i/>
          <w:iCs/>
          <w:lang w:eastAsia="en-US"/>
        </w:rPr>
      </w:pPr>
      <w:r w:rsidRPr="00106A2A">
        <w:rPr>
          <w:rFonts w:eastAsia="Calibri"/>
          <w:lang w:eastAsia="en-US"/>
        </w:rPr>
        <w:br w:type="page"/>
      </w:r>
    </w:p>
    <w:p w:rsidR="00106A2A" w:rsidRPr="00106A2A" w:rsidRDefault="00106A2A" w:rsidP="00106A2A">
      <w:pPr>
        <w:keepNext/>
        <w:keepLines/>
        <w:widowControl/>
        <w:spacing w:before="360" w:after="240" w:line="259" w:lineRule="auto"/>
        <w:ind w:left="578"/>
        <w:jc w:val="both"/>
        <w:outlineLvl w:val="1"/>
        <w:rPr>
          <w:b/>
          <w:bCs/>
          <w:i/>
          <w:iCs/>
          <w:u w:val="single"/>
          <w:lang w:eastAsia="en-US"/>
        </w:rPr>
      </w:pPr>
      <w:bookmarkStart w:id="25" w:name="_Toc128649695"/>
      <w:r w:rsidRPr="00106A2A">
        <w:rPr>
          <w:rFonts w:eastAsia="Calibri"/>
          <w:b/>
          <w:i/>
          <w:lang w:eastAsia="en-US"/>
        </w:rPr>
        <w:t xml:space="preserve">2.3. </w:t>
      </w:r>
      <w:r w:rsidRPr="00106A2A">
        <w:rPr>
          <w:rFonts w:eastAsia="Calibri"/>
          <w:b/>
          <w:i/>
          <w:u w:val="single"/>
          <w:lang w:eastAsia="en-US"/>
        </w:rPr>
        <w:t>Техническа помощ</w:t>
      </w:r>
      <w:bookmarkEnd w:id="25"/>
    </w:p>
    <w:p w:rsidR="00106A2A" w:rsidRPr="00106A2A" w:rsidRDefault="00106A2A" w:rsidP="00106A2A">
      <w:pPr>
        <w:widowControl/>
        <w:spacing w:before="120" w:after="160" w:line="360" w:lineRule="auto"/>
        <w:rPr>
          <w:rFonts w:eastAsia="Calibri"/>
          <w:b/>
          <w:bCs/>
          <w:i/>
          <w:iCs/>
          <w:lang w:eastAsia="en-US"/>
        </w:rPr>
      </w:pPr>
      <w:r w:rsidRPr="00106A2A">
        <w:rPr>
          <w:rFonts w:eastAsia="Calibri"/>
          <w:b/>
          <w:i/>
          <w:lang w:eastAsia="en-US"/>
        </w:rPr>
        <w:t>Описание на действията за техническа помощ, които ще бъдат включени, за ефективното администриране и изпълнение на мерките и инвестициите, определени в плана, в съответствие с член 8, параграф 3, включително:</w:t>
      </w:r>
    </w:p>
    <w:p w:rsidR="00106A2A" w:rsidRPr="00106A2A" w:rsidRDefault="00106A2A" w:rsidP="00106A2A">
      <w:pPr>
        <w:widowControl/>
        <w:spacing w:before="120" w:after="160" w:line="360" w:lineRule="auto"/>
        <w:ind w:left="1276" w:hanging="425"/>
        <w:contextualSpacing/>
        <w:jc w:val="both"/>
        <w:rPr>
          <w:b/>
          <w:bCs/>
          <w:i/>
          <w:iCs/>
          <w:lang w:eastAsia="en-US"/>
        </w:rPr>
      </w:pPr>
      <w:r w:rsidRPr="00106A2A">
        <w:rPr>
          <w:bCs/>
          <w:iCs/>
          <w:lang w:eastAsia="en-US"/>
        </w:rPr>
        <w:t></w:t>
      </w:r>
      <w:r w:rsidRPr="00106A2A">
        <w:rPr>
          <w:bCs/>
          <w:iCs/>
          <w:lang w:eastAsia="en-US"/>
        </w:rPr>
        <w:tab/>
      </w:r>
      <w:r w:rsidRPr="00106A2A">
        <w:rPr>
          <w:rFonts w:eastAsia="Calibri"/>
          <w:b/>
          <w:i/>
          <w:lang w:eastAsia="en-US"/>
        </w:rPr>
        <w:t>характера, вида и размера на действията за техническа помощ;</w:t>
      </w:r>
    </w:p>
    <w:p w:rsidR="00106A2A" w:rsidRPr="00106A2A" w:rsidRDefault="00106A2A" w:rsidP="00106A2A">
      <w:pPr>
        <w:widowControl/>
        <w:spacing w:before="120" w:after="160" w:line="360" w:lineRule="auto"/>
        <w:ind w:left="1276" w:hanging="425"/>
        <w:contextualSpacing/>
        <w:jc w:val="both"/>
        <w:rPr>
          <w:rFonts w:eastAsia="Calibri"/>
          <w:b/>
          <w:bCs/>
          <w:i/>
          <w:iCs/>
          <w:lang w:eastAsia="en-US"/>
        </w:rPr>
      </w:pPr>
      <w:r w:rsidRPr="00106A2A">
        <w:rPr>
          <w:rFonts w:eastAsia="Calibri"/>
          <w:bCs/>
          <w:iCs/>
          <w:lang w:eastAsia="en-US"/>
        </w:rPr>
        <w:t></w:t>
      </w:r>
      <w:r w:rsidRPr="00106A2A">
        <w:rPr>
          <w:rFonts w:eastAsia="Calibri"/>
          <w:bCs/>
          <w:iCs/>
          <w:lang w:eastAsia="en-US"/>
        </w:rPr>
        <w:tab/>
      </w:r>
      <w:r w:rsidRPr="00106A2A">
        <w:rPr>
          <w:rFonts w:eastAsia="Calibri"/>
          <w:b/>
          <w:i/>
          <w:lang w:eastAsia="en-US"/>
        </w:rPr>
        <w:t>прогнозните разходи за действията за техническа помощ.</w:t>
      </w:r>
    </w:p>
    <w:p w:rsidR="00106A2A" w:rsidRPr="00106A2A" w:rsidRDefault="00106A2A" w:rsidP="00106A2A">
      <w:pPr>
        <w:keepNext/>
        <w:keepLines/>
        <w:widowControl/>
        <w:spacing w:before="40" w:after="120" w:line="259" w:lineRule="auto"/>
        <w:ind w:left="578"/>
        <w:outlineLvl w:val="1"/>
        <w:rPr>
          <w:b/>
          <w:bCs/>
          <w:i/>
          <w:iCs/>
          <w:u w:val="single"/>
          <w:lang w:eastAsia="en-US"/>
        </w:rPr>
      </w:pPr>
      <w:bookmarkStart w:id="26" w:name="_Toc128649696"/>
      <w:r w:rsidRPr="00106A2A">
        <w:rPr>
          <w:rFonts w:eastAsia="Calibri"/>
          <w:b/>
          <w:i/>
          <w:lang w:eastAsia="en-US"/>
        </w:rPr>
        <w:t xml:space="preserve">2.4. </w:t>
      </w:r>
      <w:r w:rsidRPr="00106A2A">
        <w:rPr>
          <w:rFonts w:eastAsia="Calibri"/>
          <w:b/>
          <w:i/>
          <w:u w:val="single"/>
          <w:lang w:eastAsia="en-US"/>
        </w:rPr>
        <w:t>Прехвърляне към програми, изпълнявани при условията на споделено управление</w:t>
      </w:r>
      <w:bookmarkEnd w:id="26"/>
    </w:p>
    <w:p w:rsidR="00106A2A" w:rsidRPr="00106A2A" w:rsidRDefault="00106A2A" w:rsidP="00106A2A">
      <w:pPr>
        <w:widowControl/>
        <w:spacing w:before="120" w:after="120" w:line="360" w:lineRule="auto"/>
        <w:rPr>
          <w:b/>
          <w:bCs/>
          <w:i/>
          <w:iCs/>
          <w:u w:val="single"/>
          <w:lang w:eastAsia="en-US"/>
        </w:rPr>
      </w:pPr>
      <w:r w:rsidRPr="00106A2A">
        <w:rPr>
          <w:rFonts w:eastAsia="Calibri"/>
          <w:b/>
          <w:i/>
          <w:lang w:eastAsia="en-US"/>
        </w:rPr>
        <w:t>Ако е предвидено ресурсите да бъдат прехвърлени от Фонда към фондове, изпълнявани при условията на споделено управление съгласно член 11, параграф 2, да се посочи към кои програми ще бъдат прехвърлени тези ресурси и в какъв срок, както и как мерките и инвестициите, които ще бъдат осъществени по тези програми, ще съответстват на целите, посочени в член 3, включително дали попадат в обхвата на мерките и инвестициите, посочени в член 8.</w:t>
      </w:r>
    </w:p>
    <w:p w:rsidR="00106A2A" w:rsidRPr="00106A2A" w:rsidRDefault="00106A2A" w:rsidP="00106A2A">
      <w:pPr>
        <w:keepNext/>
        <w:keepLines/>
        <w:widowControl/>
        <w:spacing w:before="360" w:after="120" w:line="259" w:lineRule="auto"/>
        <w:ind w:left="578"/>
        <w:jc w:val="both"/>
        <w:outlineLvl w:val="1"/>
        <w:rPr>
          <w:b/>
          <w:bCs/>
          <w:i/>
          <w:iCs/>
          <w:u w:val="single"/>
          <w:lang w:eastAsia="en-US"/>
        </w:rPr>
      </w:pPr>
      <w:bookmarkStart w:id="27" w:name="_Toc128649697"/>
      <w:r w:rsidRPr="00106A2A">
        <w:rPr>
          <w:rFonts w:eastAsia="Calibri"/>
          <w:b/>
          <w:i/>
          <w:lang w:eastAsia="en-US"/>
        </w:rPr>
        <w:t>2.5. Прогнозни общи</w:t>
      </w:r>
      <w:r w:rsidRPr="00106A2A">
        <w:rPr>
          <w:rFonts w:eastAsia="Calibri"/>
          <w:b/>
          <w:i/>
          <w:u w:val="single"/>
          <w:lang w:eastAsia="en-US"/>
        </w:rPr>
        <w:t xml:space="preserve"> разходи</w:t>
      </w:r>
      <w:bookmarkEnd w:id="27"/>
      <w:r w:rsidRPr="00106A2A">
        <w:rPr>
          <w:rFonts w:eastAsia="Calibri"/>
          <w:b/>
          <w:i/>
          <w:u w:val="single"/>
          <w:lang w:eastAsia="en-US"/>
        </w:rPr>
        <w:t xml:space="preserve"> за плана</w:t>
      </w:r>
    </w:p>
    <w:p w:rsidR="00106A2A" w:rsidRPr="00106A2A" w:rsidRDefault="00106A2A" w:rsidP="00106A2A">
      <w:pPr>
        <w:widowControl/>
        <w:spacing w:before="120" w:after="120" w:line="360" w:lineRule="auto"/>
        <w:rPr>
          <w:rFonts w:eastAsia="Calibri"/>
          <w:b/>
          <w:bCs/>
          <w:i/>
          <w:iCs/>
          <w:lang w:eastAsia="en-US"/>
        </w:rPr>
      </w:pPr>
      <w:r w:rsidRPr="00106A2A">
        <w:rPr>
          <w:rFonts w:eastAsia="Calibri"/>
          <w:b/>
          <w:i/>
          <w:lang w:eastAsia="en-US"/>
        </w:rPr>
        <w:t>Прогнозните общи разходи за плана, включително всички суми, предоставени за допълнителна техническа подкрепа съгласно член 11, параграф 4 от настоящия регламент, размера на паричната вноска за целите на раздел „Държави членки“ съгласно съответните разпоредби на Регламент (ЕС) 2021/523 и всяка сума, предоставена за допълнителна техническа помощ съгласно член 8, параграф 3 от настоящия регламент.</w:t>
      </w:r>
    </w:p>
    <w:p w:rsidR="00106A2A" w:rsidRPr="00106A2A" w:rsidRDefault="00106A2A" w:rsidP="00106A2A">
      <w:pPr>
        <w:widowControl/>
        <w:spacing w:before="120" w:after="120" w:line="360" w:lineRule="auto"/>
        <w:rPr>
          <w:rFonts w:eastAsia="Calibri"/>
          <w:b/>
          <w:bCs/>
          <w:i/>
          <w:iCs/>
          <w:lang w:eastAsia="en-US"/>
        </w:rPr>
      </w:pPr>
      <w:r w:rsidRPr="00106A2A">
        <w:rPr>
          <w:rFonts w:eastAsia="Calibri"/>
          <w:lang w:eastAsia="en-US"/>
        </w:rPr>
        <w:br w:type="page"/>
      </w:r>
    </w:p>
    <w:p w:rsidR="00106A2A" w:rsidRPr="00106A2A" w:rsidRDefault="00106A2A" w:rsidP="00106A2A">
      <w:pPr>
        <w:widowControl/>
        <w:spacing w:before="120" w:after="120" w:line="360" w:lineRule="auto"/>
        <w:rPr>
          <w:rFonts w:eastAsia="Calibri"/>
          <w:b/>
          <w:bCs/>
          <w:i/>
          <w:iCs/>
          <w:lang w:eastAsia="en-US"/>
        </w:rPr>
      </w:pPr>
      <w:r w:rsidRPr="00106A2A">
        <w:rPr>
          <w:rFonts w:eastAsia="Calibri"/>
          <w:b/>
          <w:i/>
          <w:lang w:eastAsia="en-US"/>
        </w:rPr>
        <w:t>Посочване на националния принос към общите разходи за нейния план, включително посочване на ресурсите, които се планира да бъдат прехвърлени към Фонда от програми, изпълнявани при условията на споделено управление съгласно член 11, параграф 1 от настоящия регламент, както и на ресурсите, които се планира да бъдат прехвърлени от Фонда към програми, изпълнявани при условията на споделено управление съгласно член 11, параграф 2 от настоящия регламент.</w:t>
      </w:r>
    </w:p>
    <w:p w:rsidR="00106A2A" w:rsidRPr="00106A2A" w:rsidRDefault="00106A2A" w:rsidP="00106A2A">
      <w:pPr>
        <w:widowControl/>
        <w:spacing w:before="120" w:after="120" w:line="360" w:lineRule="auto"/>
        <w:rPr>
          <w:rFonts w:eastAsia="Calibri"/>
          <w:b/>
          <w:bCs/>
          <w:i/>
          <w:iCs/>
          <w:lang w:eastAsia="en-US"/>
        </w:rPr>
      </w:pPr>
      <w:r w:rsidRPr="00106A2A">
        <w:rPr>
          <w:rFonts w:eastAsia="Calibri"/>
          <w:b/>
          <w:i/>
          <w:lang w:eastAsia="en-US"/>
        </w:rPr>
        <w:t>Описание на начина, по който разходите съответстват на принципа за ефективност на разходите и са съизмерими с очакваното въздействие на плана.</w:t>
      </w:r>
    </w:p>
    <w:p w:rsidR="00106A2A" w:rsidRPr="00106A2A" w:rsidRDefault="00106A2A" w:rsidP="00106A2A">
      <w:pPr>
        <w:widowControl/>
        <w:spacing w:before="120" w:after="120" w:line="360" w:lineRule="auto"/>
        <w:jc w:val="both"/>
        <w:rPr>
          <w:rFonts w:eastAsia="Calibri"/>
          <w:b/>
          <w:bCs/>
          <w:i/>
          <w:iCs/>
          <w:lang w:eastAsia="en-US"/>
        </w:rPr>
      </w:pPr>
      <w:r w:rsidRPr="00106A2A">
        <w:rPr>
          <w:rFonts w:eastAsia="Calibri"/>
          <w:b/>
          <w:i/>
          <w:lang w:eastAsia="en-US"/>
        </w:rPr>
        <w:t>Попълване на таблицата, в която са обобщени разходите на Фонда по източници на финансиране, като образецът е предоставен по-долу:</w:t>
      </w:r>
    </w:p>
    <w:tbl>
      <w:tblPr>
        <w:tblStyle w:val="TableGrid1"/>
        <w:tblW w:w="9351" w:type="dxa"/>
        <w:tblLook w:val="04A0" w:firstRow="1" w:lastRow="0" w:firstColumn="1" w:lastColumn="0" w:noHBand="0" w:noVBand="1"/>
      </w:tblPr>
      <w:tblGrid>
        <w:gridCol w:w="5098"/>
        <w:gridCol w:w="2127"/>
        <w:gridCol w:w="2126"/>
      </w:tblGrid>
      <w:tr w:rsidR="00106A2A" w:rsidRPr="00106A2A" w:rsidTr="006919B6">
        <w:trPr>
          <w:trHeight w:val="624"/>
        </w:trPr>
        <w:tc>
          <w:tcPr>
            <w:tcW w:w="5098" w:type="dxa"/>
            <w:vAlign w:val="center"/>
            <w:hideMark/>
          </w:tcPr>
          <w:p w:rsidR="00106A2A" w:rsidRPr="00106A2A" w:rsidRDefault="00106A2A" w:rsidP="00106A2A">
            <w:pPr>
              <w:widowControl/>
              <w:spacing w:before="120" w:after="120"/>
              <w:jc w:val="center"/>
              <w:rPr>
                <w:b/>
                <w:bCs/>
                <w:i/>
                <w:iCs/>
              </w:rPr>
            </w:pPr>
            <w:r w:rsidRPr="00106A2A">
              <w:rPr>
                <w:b/>
                <w:i/>
              </w:rPr>
              <w:t>Общо разходи за социалния план за климата</w:t>
            </w:r>
          </w:p>
        </w:tc>
        <w:tc>
          <w:tcPr>
            <w:tcW w:w="2127" w:type="dxa"/>
            <w:vAlign w:val="center"/>
          </w:tcPr>
          <w:p w:rsidR="00106A2A" w:rsidRPr="00106A2A" w:rsidRDefault="00106A2A" w:rsidP="00106A2A">
            <w:pPr>
              <w:widowControl/>
              <w:spacing w:before="120" w:after="120"/>
              <w:jc w:val="center"/>
              <w:rPr>
                <w:b/>
                <w:bCs/>
                <w:i/>
                <w:iCs/>
              </w:rPr>
            </w:pPr>
            <w:r w:rsidRPr="00106A2A">
              <w:rPr>
                <w:b/>
                <w:i/>
              </w:rPr>
              <w:t>Базов сценарий</w:t>
            </w:r>
          </w:p>
        </w:tc>
        <w:tc>
          <w:tcPr>
            <w:tcW w:w="2126" w:type="dxa"/>
            <w:vAlign w:val="center"/>
          </w:tcPr>
          <w:p w:rsidR="00106A2A" w:rsidRPr="00106A2A" w:rsidRDefault="00106A2A" w:rsidP="00106A2A">
            <w:pPr>
              <w:widowControl/>
              <w:spacing w:before="120" w:after="120"/>
              <w:jc w:val="center"/>
              <w:rPr>
                <w:b/>
                <w:bCs/>
                <w:i/>
                <w:iCs/>
              </w:rPr>
            </w:pPr>
            <w:r w:rsidRPr="00106A2A">
              <w:rPr>
                <w:b/>
                <w:i/>
              </w:rPr>
              <w:t>В случай на член 30к от Директива 2003/87/ЕО</w:t>
            </w:r>
          </w:p>
        </w:tc>
      </w:tr>
      <w:tr w:rsidR="00106A2A" w:rsidRPr="00106A2A" w:rsidTr="006919B6">
        <w:trPr>
          <w:trHeight w:val="601"/>
        </w:trPr>
        <w:tc>
          <w:tcPr>
            <w:tcW w:w="5098" w:type="dxa"/>
            <w:vAlign w:val="center"/>
            <w:hideMark/>
          </w:tcPr>
          <w:p w:rsidR="00106A2A" w:rsidRPr="00106A2A" w:rsidRDefault="00106A2A" w:rsidP="00106A2A">
            <w:pPr>
              <w:widowControl/>
              <w:spacing w:before="120" w:after="120"/>
              <w:jc w:val="center"/>
              <w:rPr>
                <w:b/>
                <w:bCs/>
                <w:i/>
                <w:iCs/>
              </w:rPr>
            </w:pPr>
            <w:r w:rsidRPr="00106A2A">
              <w:rPr>
                <w:b/>
                <w:i/>
              </w:rPr>
              <w:t>ПРОГНОЗНИ ОБЩИ РАЗХОДИ ЗА ПЛАНА,</w:t>
            </w:r>
          </w:p>
          <w:p w:rsidR="00106A2A" w:rsidRPr="00106A2A" w:rsidRDefault="00106A2A" w:rsidP="00106A2A">
            <w:pPr>
              <w:widowControl/>
              <w:spacing w:before="120" w:after="120"/>
              <w:jc w:val="center"/>
              <w:rPr>
                <w:b/>
                <w:bCs/>
                <w:i/>
                <w:iCs/>
              </w:rPr>
            </w:pPr>
            <w:r w:rsidRPr="00106A2A">
              <w:rPr>
                <w:b/>
                <w:i/>
              </w:rPr>
              <w:t>от които</w:t>
            </w:r>
          </w:p>
        </w:tc>
        <w:tc>
          <w:tcPr>
            <w:tcW w:w="2127" w:type="dxa"/>
            <w:vAlign w:val="center"/>
            <w:hideMark/>
          </w:tcPr>
          <w:p w:rsidR="00106A2A" w:rsidRPr="00106A2A" w:rsidRDefault="00106A2A" w:rsidP="00106A2A">
            <w:pPr>
              <w:widowControl/>
              <w:spacing w:before="120" w:after="120"/>
              <w:jc w:val="center"/>
              <w:rPr>
                <w:b/>
                <w:bCs/>
                <w:i/>
                <w:iCs/>
              </w:rPr>
            </w:pPr>
            <w:r w:rsidRPr="00106A2A">
              <w:rPr>
                <w:b/>
                <w:i/>
              </w:rPr>
              <w:t>XXX EUR</w:t>
            </w:r>
          </w:p>
        </w:tc>
        <w:tc>
          <w:tcPr>
            <w:tcW w:w="2126" w:type="dxa"/>
            <w:vAlign w:val="center"/>
          </w:tcPr>
          <w:p w:rsidR="00106A2A" w:rsidRPr="00106A2A" w:rsidRDefault="00106A2A" w:rsidP="00106A2A">
            <w:pPr>
              <w:widowControl/>
              <w:spacing w:before="120" w:after="120"/>
              <w:jc w:val="center"/>
              <w:rPr>
                <w:b/>
                <w:bCs/>
                <w:i/>
                <w:iCs/>
              </w:rPr>
            </w:pPr>
            <w:r w:rsidRPr="00106A2A">
              <w:rPr>
                <w:b/>
                <w:i/>
              </w:rPr>
              <w:t>XXX EUR</w:t>
            </w:r>
          </w:p>
        </w:tc>
      </w:tr>
      <w:tr w:rsidR="00106A2A" w:rsidRPr="00106A2A" w:rsidTr="006919B6">
        <w:trPr>
          <w:trHeight w:val="557"/>
        </w:trPr>
        <w:tc>
          <w:tcPr>
            <w:tcW w:w="5098" w:type="dxa"/>
            <w:vAlign w:val="center"/>
            <w:hideMark/>
          </w:tcPr>
          <w:p w:rsidR="00106A2A" w:rsidRPr="00106A2A" w:rsidRDefault="00106A2A" w:rsidP="00106A2A">
            <w:pPr>
              <w:widowControl/>
              <w:spacing w:before="120" w:after="120"/>
              <w:jc w:val="center"/>
              <w:rPr>
                <w:b/>
                <w:bCs/>
                <w:i/>
                <w:iCs/>
              </w:rPr>
            </w:pPr>
            <w:r w:rsidRPr="00106A2A">
              <w:rPr>
                <w:b/>
                <w:i/>
              </w:rPr>
              <w:t>Покривани от Фонда</w:t>
            </w:r>
          </w:p>
        </w:tc>
        <w:tc>
          <w:tcPr>
            <w:tcW w:w="2127" w:type="dxa"/>
            <w:vAlign w:val="center"/>
            <w:hideMark/>
          </w:tcPr>
          <w:p w:rsidR="00106A2A" w:rsidRPr="00106A2A" w:rsidRDefault="00106A2A" w:rsidP="00106A2A">
            <w:pPr>
              <w:widowControl/>
              <w:spacing w:before="120" w:after="120"/>
              <w:jc w:val="center"/>
              <w:rPr>
                <w:b/>
                <w:bCs/>
                <w:i/>
                <w:iCs/>
              </w:rPr>
            </w:pPr>
            <w:r w:rsidRPr="00106A2A">
              <w:rPr>
                <w:b/>
                <w:i/>
              </w:rPr>
              <w:t>XXX EUR</w:t>
            </w:r>
          </w:p>
        </w:tc>
        <w:tc>
          <w:tcPr>
            <w:tcW w:w="2126" w:type="dxa"/>
            <w:vAlign w:val="center"/>
          </w:tcPr>
          <w:p w:rsidR="00106A2A" w:rsidRPr="00106A2A" w:rsidRDefault="00106A2A" w:rsidP="00106A2A">
            <w:pPr>
              <w:widowControl/>
              <w:spacing w:before="120" w:after="120"/>
              <w:jc w:val="center"/>
              <w:rPr>
                <w:b/>
                <w:bCs/>
                <w:i/>
                <w:iCs/>
              </w:rPr>
            </w:pPr>
            <w:r w:rsidRPr="00106A2A">
              <w:rPr>
                <w:b/>
                <w:i/>
              </w:rPr>
              <w:t>XXX EUR</w:t>
            </w:r>
          </w:p>
        </w:tc>
      </w:tr>
      <w:tr w:rsidR="00106A2A" w:rsidRPr="00106A2A" w:rsidTr="006919B6">
        <w:trPr>
          <w:trHeight w:val="551"/>
        </w:trPr>
        <w:tc>
          <w:tcPr>
            <w:tcW w:w="5098" w:type="dxa"/>
            <w:vAlign w:val="center"/>
            <w:hideMark/>
          </w:tcPr>
          <w:p w:rsidR="00106A2A" w:rsidRPr="00106A2A" w:rsidRDefault="00106A2A" w:rsidP="00106A2A">
            <w:pPr>
              <w:widowControl/>
              <w:spacing w:before="120" w:after="120"/>
              <w:jc w:val="center"/>
              <w:rPr>
                <w:b/>
                <w:bCs/>
                <w:i/>
                <w:iCs/>
              </w:rPr>
            </w:pPr>
            <w:r w:rsidRPr="00106A2A">
              <w:rPr>
                <w:b/>
                <w:i/>
              </w:rPr>
              <w:t>Национален принос</w:t>
            </w:r>
          </w:p>
        </w:tc>
        <w:tc>
          <w:tcPr>
            <w:tcW w:w="2127" w:type="dxa"/>
            <w:vAlign w:val="center"/>
            <w:hideMark/>
          </w:tcPr>
          <w:p w:rsidR="00106A2A" w:rsidRPr="00106A2A" w:rsidRDefault="00106A2A" w:rsidP="00106A2A">
            <w:pPr>
              <w:widowControl/>
              <w:spacing w:before="120" w:after="120"/>
              <w:jc w:val="center"/>
              <w:rPr>
                <w:b/>
                <w:bCs/>
                <w:i/>
                <w:iCs/>
              </w:rPr>
            </w:pPr>
            <w:r w:rsidRPr="00106A2A">
              <w:rPr>
                <w:b/>
                <w:i/>
              </w:rPr>
              <w:t>XXX EUR</w:t>
            </w:r>
          </w:p>
        </w:tc>
        <w:tc>
          <w:tcPr>
            <w:tcW w:w="2126" w:type="dxa"/>
            <w:vAlign w:val="center"/>
          </w:tcPr>
          <w:p w:rsidR="00106A2A" w:rsidRPr="00106A2A" w:rsidRDefault="00106A2A" w:rsidP="00106A2A">
            <w:pPr>
              <w:widowControl/>
              <w:spacing w:before="120" w:after="120"/>
              <w:jc w:val="center"/>
              <w:rPr>
                <w:b/>
                <w:bCs/>
                <w:i/>
                <w:iCs/>
              </w:rPr>
            </w:pPr>
            <w:r w:rsidRPr="00106A2A">
              <w:rPr>
                <w:b/>
                <w:i/>
              </w:rPr>
              <w:t>XXX EUR</w:t>
            </w:r>
          </w:p>
        </w:tc>
      </w:tr>
      <w:tr w:rsidR="00106A2A" w:rsidRPr="00106A2A" w:rsidTr="006919B6">
        <w:trPr>
          <w:trHeight w:val="624"/>
        </w:trPr>
        <w:tc>
          <w:tcPr>
            <w:tcW w:w="5098" w:type="dxa"/>
            <w:vAlign w:val="center"/>
            <w:hideMark/>
          </w:tcPr>
          <w:p w:rsidR="00106A2A" w:rsidRPr="00106A2A" w:rsidRDefault="00106A2A" w:rsidP="00106A2A">
            <w:pPr>
              <w:widowControl/>
              <w:spacing w:before="120" w:after="120"/>
              <w:jc w:val="center"/>
              <w:rPr>
                <w:b/>
                <w:bCs/>
                <w:i/>
                <w:iCs/>
              </w:rPr>
            </w:pPr>
            <w:r w:rsidRPr="00106A2A">
              <w:rPr>
                <w:b/>
                <w:i/>
              </w:rPr>
              <w:t>Прехвърляне от програмите, изпълнявани при условията на споделено управление</w:t>
            </w:r>
          </w:p>
        </w:tc>
        <w:tc>
          <w:tcPr>
            <w:tcW w:w="2127" w:type="dxa"/>
            <w:vAlign w:val="center"/>
            <w:hideMark/>
          </w:tcPr>
          <w:p w:rsidR="00106A2A" w:rsidRPr="00106A2A" w:rsidRDefault="00106A2A" w:rsidP="00106A2A">
            <w:pPr>
              <w:widowControl/>
              <w:spacing w:before="120" w:after="120"/>
              <w:jc w:val="center"/>
              <w:rPr>
                <w:b/>
                <w:bCs/>
                <w:i/>
                <w:iCs/>
              </w:rPr>
            </w:pPr>
            <w:r w:rsidRPr="00106A2A">
              <w:rPr>
                <w:b/>
                <w:i/>
              </w:rPr>
              <w:t>XXX EUR</w:t>
            </w:r>
          </w:p>
        </w:tc>
        <w:tc>
          <w:tcPr>
            <w:tcW w:w="2126" w:type="dxa"/>
            <w:vAlign w:val="center"/>
          </w:tcPr>
          <w:p w:rsidR="00106A2A" w:rsidRPr="00106A2A" w:rsidRDefault="00106A2A" w:rsidP="00106A2A">
            <w:pPr>
              <w:widowControl/>
              <w:spacing w:before="120" w:after="120"/>
              <w:jc w:val="center"/>
              <w:rPr>
                <w:b/>
                <w:bCs/>
                <w:i/>
                <w:iCs/>
              </w:rPr>
            </w:pPr>
            <w:r w:rsidRPr="00106A2A">
              <w:rPr>
                <w:b/>
                <w:i/>
              </w:rPr>
              <w:t>XXX EUR</w:t>
            </w:r>
          </w:p>
        </w:tc>
      </w:tr>
      <w:tr w:rsidR="00106A2A" w:rsidRPr="00106A2A" w:rsidTr="006919B6">
        <w:trPr>
          <w:trHeight w:val="622"/>
        </w:trPr>
        <w:tc>
          <w:tcPr>
            <w:tcW w:w="5098" w:type="dxa"/>
            <w:vAlign w:val="center"/>
          </w:tcPr>
          <w:p w:rsidR="00106A2A" w:rsidRPr="00106A2A" w:rsidRDefault="00106A2A" w:rsidP="00106A2A">
            <w:pPr>
              <w:widowControl/>
              <w:spacing w:before="120" w:after="120"/>
              <w:jc w:val="center"/>
              <w:rPr>
                <w:b/>
                <w:bCs/>
                <w:i/>
                <w:iCs/>
              </w:rPr>
            </w:pPr>
            <w:r w:rsidRPr="00106A2A">
              <w:rPr>
                <w:b/>
                <w:i/>
              </w:rPr>
              <w:t>(Прехвърляне към програми, изпълнявани при условията на споделено управление)</w:t>
            </w:r>
          </w:p>
        </w:tc>
        <w:tc>
          <w:tcPr>
            <w:tcW w:w="2127" w:type="dxa"/>
            <w:vAlign w:val="center"/>
          </w:tcPr>
          <w:p w:rsidR="00106A2A" w:rsidRPr="00106A2A" w:rsidRDefault="00106A2A" w:rsidP="00106A2A">
            <w:pPr>
              <w:widowControl/>
              <w:spacing w:before="120" w:after="120"/>
              <w:jc w:val="center"/>
              <w:rPr>
                <w:b/>
                <w:bCs/>
                <w:i/>
                <w:iCs/>
              </w:rPr>
            </w:pPr>
            <w:r w:rsidRPr="00106A2A">
              <w:rPr>
                <w:b/>
                <w:i/>
              </w:rPr>
              <w:t>-XXX EUR</w:t>
            </w:r>
          </w:p>
        </w:tc>
        <w:tc>
          <w:tcPr>
            <w:tcW w:w="2126" w:type="dxa"/>
            <w:vAlign w:val="center"/>
          </w:tcPr>
          <w:p w:rsidR="00106A2A" w:rsidRPr="00106A2A" w:rsidRDefault="00106A2A" w:rsidP="00106A2A">
            <w:pPr>
              <w:widowControl/>
              <w:spacing w:before="120" w:after="120"/>
              <w:jc w:val="center"/>
              <w:rPr>
                <w:b/>
                <w:bCs/>
                <w:i/>
                <w:iCs/>
              </w:rPr>
            </w:pPr>
            <w:r w:rsidRPr="00106A2A">
              <w:rPr>
                <w:b/>
                <w:i/>
              </w:rPr>
              <w:t>-XXX EUR</w:t>
            </w:r>
          </w:p>
        </w:tc>
      </w:tr>
    </w:tbl>
    <w:p w:rsidR="00106A2A" w:rsidRPr="00106A2A" w:rsidRDefault="00106A2A" w:rsidP="00106A2A">
      <w:pPr>
        <w:widowControl/>
        <w:spacing w:before="120" w:after="160" w:line="259" w:lineRule="auto"/>
        <w:rPr>
          <w:b/>
          <w:bCs/>
          <w:i/>
          <w:iCs/>
          <w:lang w:eastAsia="en-US"/>
        </w:rPr>
      </w:pPr>
    </w:p>
    <w:p w:rsidR="00106A2A" w:rsidRPr="00106A2A" w:rsidRDefault="00106A2A" w:rsidP="00106A2A">
      <w:pPr>
        <w:widowControl/>
        <w:spacing w:before="120" w:after="120" w:line="360" w:lineRule="auto"/>
        <w:rPr>
          <w:b/>
          <w:bCs/>
          <w:i/>
          <w:iCs/>
          <w:lang w:eastAsia="en-US"/>
        </w:rPr>
      </w:pPr>
      <w:r w:rsidRPr="00106A2A">
        <w:rPr>
          <w:rFonts w:eastAsia="Calibri"/>
          <w:lang w:eastAsia="en-US"/>
        </w:rPr>
        <w:br w:type="page"/>
      </w:r>
    </w:p>
    <w:p w:rsidR="00106A2A" w:rsidRPr="00106A2A" w:rsidRDefault="00106A2A" w:rsidP="00106A2A">
      <w:pPr>
        <w:keepNext/>
        <w:keepLines/>
        <w:widowControl/>
        <w:spacing w:before="360" w:after="240" w:line="259" w:lineRule="auto"/>
        <w:ind w:left="360" w:hanging="360"/>
        <w:jc w:val="both"/>
        <w:outlineLvl w:val="0"/>
        <w:rPr>
          <w:b/>
          <w:bCs/>
          <w:i/>
          <w:iCs/>
          <w:lang w:eastAsia="en-US"/>
        </w:rPr>
      </w:pPr>
      <w:bookmarkStart w:id="28" w:name="_Toc128649698"/>
      <w:r w:rsidRPr="00106A2A">
        <w:rPr>
          <w:b/>
          <w:bCs/>
          <w:i/>
          <w:iCs/>
          <w:lang w:eastAsia="en-US"/>
        </w:rPr>
        <w:t>3.</w:t>
      </w:r>
      <w:r w:rsidRPr="00106A2A">
        <w:rPr>
          <w:b/>
          <w:bCs/>
          <w:i/>
          <w:iCs/>
          <w:lang w:eastAsia="en-US"/>
        </w:rPr>
        <w:tab/>
      </w:r>
      <w:r w:rsidRPr="00106A2A">
        <w:rPr>
          <w:rFonts w:eastAsia="Calibri"/>
          <w:b/>
          <w:i/>
          <w:lang w:eastAsia="en-US"/>
        </w:rPr>
        <w:t>АНАЛИЗ И ЦЯЛОСТНО ВЪЗДЕЙСТВИЕ</w:t>
      </w:r>
      <w:bookmarkEnd w:id="28"/>
    </w:p>
    <w:p w:rsidR="00106A2A" w:rsidRPr="00106A2A" w:rsidRDefault="00106A2A" w:rsidP="00106A2A">
      <w:pPr>
        <w:keepNext/>
        <w:keepLines/>
        <w:widowControl/>
        <w:spacing w:before="120" w:after="120" w:line="259" w:lineRule="auto"/>
        <w:ind w:left="578"/>
        <w:jc w:val="both"/>
        <w:outlineLvl w:val="1"/>
        <w:rPr>
          <w:b/>
          <w:bCs/>
          <w:i/>
          <w:iCs/>
          <w:u w:val="single"/>
          <w:lang w:eastAsia="en-US"/>
        </w:rPr>
      </w:pPr>
      <w:bookmarkStart w:id="29" w:name="_Toc128649699"/>
      <w:r w:rsidRPr="00106A2A">
        <w:rPr>
          <w:rFonts w:eastAsia="Calibri"/>
          <w:b/>
          <w:i/>
          <w:lang w:eastAsia="en-US"/>
        </w:rPr>
        <w:t xml:space="preserve">3.1. </w:t>
      </w:r>
      <w:r w:rsidRPr="00106A2A">
        <w:rPr>
          <w:rFonts w:eastAsia="Calibri"/>
          <w:b/>
          <w:i/>
          <w:u w:val="single"/>
          <w:lang w:eastAsia="en-US"/>
        </w:rPr>
        <w:t>Определения</w:t>
      </w:r>
      <w:bookmarkEnd w:id="29"/>
    </w:p>
    <w:p w:rsidR="00106A2A" w:rsidRPr="00106A2A" w:rsidRDefault="00106A2A" w:rsidP="00106A2A">
      <w:pPr>
        <w:widowControl/>
        <w:spacing w:before="120" w:after="120" w:line="360" w:lineRule="auto"/>
        <w:rPr>
          <w:rFonts w:eastAsia="Calibri"/>
          <w:b/>
          <w:bCs/>
          <w:i/>
          <w:iCs/>
          <w:lang w:eastAsia="en-US"/>
        </w:rPr>
      </w:pPr>
      <w:r w:rsidRPr="00106A2A">
        <w:rPr>
          <w:rFonts w:eastAsia="Calibri"/>
          <w:b/>
          <w:i/>
          <w:lang w:eastAsia="en-US"/>
        </w:rPr>
        <w:t>Обяснение на начина, по който определенията за енергийна и транспортна бедност трябва да се прилагат на национално равнище.</w:t>
      </w:r>
    </w:p>
    <w:p w:rsidR="00106A2A" w:rsidRPr="00106A2A" w:rsidRDefault="00106A2A" w:rsidP="00106A2A">
      <w:pPr>
        <w:keepNext/>
        <w:keepLines/>
        <w:widowControl/>
        <w:spacing w:before="120" w:after="120" w:line="259" w:lineRule="auto"/>
        <w:ind w:left="578"/>
        <w:jc w:val="both"/>
        <w:outlineLvl w:val="1"/>
        <w:rPr>
          <w:b/>
          <w:bCs/>
          <w:i/>
          <w:iCs/>
          <w:u w:val="single"/>
          <w:lang w:eastAsia="en-US"/>
        </w:rPr>
      </w:pPr>
      <w:bookmarkStart w:id="30" w:name="_Toc128649700"/>
      <w:r w:rsidRPr="00106A2A">
        <w:rPr>
          <w:rFonts w:eastAsia="Calibri"/>
          <w:b/>
          <w:i/>
          <w:lang w:eastAsia="en-US"/>
        </w:rPr>
        <w:t xml:space="preserve">3.2. </w:t>
      </w:r>
      <w:r w:rsidRPr="00106A2A">
        <w:rPr>
          <w:rFonts w:eastAsia="Calibri"/>
          <w:b/>
          <w:i/>
          <w:u w:val="single"/>
          <w:lang w:eastAsia="en-US"/>
        </w:rPr>
        <w:t>Прогнозирано въздействие върху уязвимите групи</w:t>
      </w:r>
      <w:bookmarkEnd w:id="30"/>
    </w:p>
    <w:p w:rsidR="00106A2A" w:rsidRPr="00106A2A" w:rsidRDefault="00106A2A" w:rsidP="00106A2A">
      <w:pPr>
        <w:widowControl/>
        <w:spacing w:before="120" w:after="120" w:line="360" w:lineRule="auto"/>
        <w:rPr>
          <w:rFonts w:eastAsia="Calibri"/>
          <w:b/>
          <w:bCs/>
          <w:i/>
          <w:iCs/>
          <w:lang w:eastAsia="en-US"/>
        </w:rPr>
      </w:pPr>
      <w:r w:rsidRPr="00106A2A">
        <w:rPr>
          <w:rFonts w:eastAsia="Calibri"/>
          <w:b/>
          <w:i/>
          <w:lang w:eastAsia="en-US"/>
        </w:rPr>
        <w:t>Прогноза за вероятните последици от увеличението на цените в резултат на системата за търговия с емисии, установена съгласно Глава IVa на Директива 2003/87/ЕО, за домакинствата, и по-специално за разпространението на енергийната и транспортната бедност, и за микропредприятията; прогнозата трябва да включва по</w:t>
      </w:r>
      <w:r w:rsidRPr="00106A2A">
        <w:rPr>
          <w:rFonts w:eastAsia="Calibri"/>
          <w:b/>
          <w:i/>
          <w:lang w:eastAsia="en-US"/>
        </w:rPr>
        <w:noBreakHyphen/>
        <w:t xml:space="preserve">специално прогнозиране на броя и определяне кои домакинства, микропредприятия и ползватели на транспорт са уязвими. Тези </w:t>
      </w:r>
      <w:r w:rsidRPr="00106A2A">
        <w:rPr>
          <w:rFonts w:eastAsia="Calibri"/>
          <w:b/>
          <w:bCs/>
          <w:i/>
          <w:iCs/>
          <w:lang w:eastAsia="en-US"/>
        </w:rPr>
        <w:t>последици</w:t>
      </w:r>
      <w:r w:rsidRPr="00106A2A">
        <w:rPr>
          <w:rFonts w:eastAsia="Calibri"/>
          <w:b/>
          <w:i/>
          <w:lang w:eastAsia="en-US"/>
        </w:rPr>
        <w:t xml:space="preserve"> трябва да бъдат анализирани на </w:t>
      </w:r>
      <w:r w:rsidRPr="00106A2A">
        <w:rPr>
          <w:rFonts w:eastAsia="Calibri"/>
          <w:b/>
          <w:bCs/>
          <w:i/>
          <w:iCs/>
          <w:lang w:eastAsia="en-US"/>
        </w:rPr>
        <w:t>подходящото териториално</w:t>
      </w:r>
      <w:r w:rsidRPr="00106A2A">
        <w:rPr>
          <w:rFonts w:eastAsia="Calibri"/>
          <w:b/>
          <w:i/>
          <w:lang w:eastAsia="en-US"/>
        </w:rPr>
        <w:t xml:space="preserve"> равнище, </w:t>
      </w:r>
      <w:r w:rsidRPr="00106A2A">
        <w:rPr>
          <w:rFonts w:eastAsia="Calibri"/>
          <w:b/>
          <w:bCs/>
          <w:i/>
          <w:iCs/>
          <w:lang w:eastAsia="en-US"/>
        </w:rPr>
        <w:t>определено от всяка държава членка</w:t>
      </w:r>
      <w:r w:rsidRPr="00106A2A">
        <w:rPr>
          <w:rFonts w:eastAsia="Calibri"/>
          <w:b/>
          <w:i/>
          <w:lang w:eastAsia="en-US"/>
        </w:rPr>
        <w:t xml:space="preserve">, като се вземат предвид </w:t>
      </w:r>
      <w:r w:rsidRPr="00106A2A">
        <w:rPr>
          <w:rFonts w:eastAsia="Calibri"/>
          <w:b/>
          <w:bCs/>
          <w:i/>
          <w:iCs/>
          <w:lang w:eastAsia="en-US"/>
        </w:rPr>
        <w:t>националните особености и</w:t>
      </w:r>
      <w:r w:rsidRPr="00106A2A">
        <w:rPr>
          <w:rFonts w:eastAsia="Calibri"/>
          <w:b/>
          <w:i/>
          <w:lang w:eastAsia="en-US"/>
        </w:rPr>
        <w:t xml:space="preserve"> елементи, като например достъпа до обществен транспорт и основни услуги, и се определят най-засегнатите области.</w:t>
      </w:r>
    </w:p>
    <w:p w:rsidR="00106A2A" w:rsidRPr="00106A2A" w:rsidRDefault="00106A2A" w:rsidP="00106A2A">
      <w:pPr>
        <w:widowControl/>
        <w:spacing w:before="120" w:after="120" w:line="360" w:lineRule="auto"/>
        <w:rPr>
          <w:rFonts w:eastAsia="Calibri"/>
          <w:b/>
          <w:bCs/>
          <w:i/>
          <w:iCs/>
          <w:lang w:eastAsia="en-US"/>
        </w:rPr>
      </w:pPr>
      <w:r w:rsidRPr="00106A2A">
        <w:rPr>
          <w:rFonts w:eastAsia="Calibri"/>
          <w:b/>
          <w:i/>
          <w:lang w:eastAsia="en-US"/>
        </w:rPr>
        <w:t>Описание на методологията, използвана в прогнозите, като същевременно се гарантира, че прогнозите се изчисляват с достатъчно подробна разбивка по региони.</w:t>
      </w:r>
    </w:p>
    <w:p w:rsidR="00106A2A" w:rsidRPr="00106A2A" w:rsidRDefault="00106A2A" w:rsidP="00106A2A">
      <w:pPr>
        <w:widowControl/>
        <w:spacing w:before="120" w:after="120" w:line="360" w:lineRule="auto"/>
        <w:rPr>
          <w:rFonts w:eastAsia="Calibri"/>
          <w:b/>
          <w:bCs/>
          <w:i/>
          <w:iCs/>
          <w:lang w:eastAsia="en-US"/>
        </w:rPr>
      </w:pPr>
      <w:r w:rsidRPr="00106A2A">
        <w:rPr>
          <w:rFonts w:eastAsia="Calibri"/>
          <w:lang w:eastAsia="en-US"/>
        </w:rPr>
        <w:br w:type="page"/>
      </w:r>
    </w:p>
    <w:p w:rsidR="00106A2A" w:rsidRPr="00106A2A" w:rsidRDefault="00106A2A" w:rsidP="00106A2A">
      <w:pPr>
        <w:keepNext/>
        <w:keepLines/>
        <w:widowControl/>
        <w:spacing w:before="120" w:after="120" w:line="259" w:lineRule="auto"/>
        <w:ind w:left="578"/>
        <w:jc w:val="both"/>
        <w:outlineLvl w:val="1"/>
        <w:rPr>
          <w:b/>
          <w:bCs/>
          <w:i/>
          <w:iCs/>
          <w:u w:val="single"/>
          <w:lang w:eastAsia="en-US"/>
        </w:rPr>
      </w:pPr>
      <w:bookmarkStart w:id="31" w:name="_Toc128649701"/>
      <w:r w:rsidRPr="00106A2A">
        <w:rPr>
          <w:rFonts w:eastAsia="Calibri"/>
          <w:b/>
          <w:i/>
          <w:lang w:eastAsia="en-US"/>
        </w:rPr>
        <w:t xml:space="preserve">3.3. </w:t>
      </w:r>
      <w:r w:rsidRPr="00106A2A">
        <w:rPr>
          <w:rFonts w:eastAsia="Calibri"/>
          <w:b/>
          <w:i/>
          <w:u w:val="single"/>
          <w:lang w:eastAsia="en-US"/>
        </w:rPr>
        <w:t>Прогнозно въздействие на планираните мерки и инвестиции</w:t>
      </w:r>
      <w:bookmarkEnd w:id="31"/>
    </w:p>
    <w:p w:rsidR="00106A2A" w:rsidRPr="00106A2A" w:rsidRDefault="00106A2A" w:rsidP="00106A2A">
      <w:pPr>
        <w:widowControl/>
        <w:spacing w:before="120" w:after="160" w:line="360" w:lineRule="auto"/>
        <w:rPr>
          <w:rFonts w:eastAsia="Calibri"/>
          <w:b/>
          <w:bCs/>
          <w:i/>
          <w:iCs/>
          <w:u w:val="single"/>
          <w:lang w:eastAsia="en-US"/>
        </w:rPr>
      </w:pPr>
      <w:r w:rsidRPr="00106A2A">
        <w:rPr>
          <w:rFonts w:eastAsia="Calibri"/>
          <w:b/>
          <w:i/>
          <w:lang w:eastAsia="en-US"/>
        </w:rPr>
        <w:t>Прогноза за предвиденото въздействие на мерките и инвестициите, планирани в раздел 2, върху емисиите на парникови газове, енергийната бедност и транспортната бедност, в сравнение с базовия сценарий, описан по-горе.</w:t>
      </w:r>
    </w:p>
    <w:p w:rsidR="00106A2A" w:rsidRPr="00106A2A" w:rsidRDefault="00106A2A" w:rsidP="00106A2A">
      <w:pPr>
        <w:widowControl/>
        <w:spacing w:before="120" w:line="360" w:lineRule="auto"/>
        <w:contextualSpacing/>
        <w:rPr>
          <w:rFonts w:eastAsia="Calibri"/>
          <w:b/>
          <w:bCs/>
          <w:i/>
          <w:iCs/>
          <w:lang w:eastAsia="en-US"/>
        </w:rPr>
      </w:pPr>
      <w:r w:rsidRPr="00106A2A">
        <w:rPr>
          <w:rFonts w:eastAsia="Calibri"/>
          <w:b/>
          <w:i/>
          <w:lang w:eastAsia="en-US"/>
        </w:rPr>
        <w:t>Описание на методологията, използвана в прогнозите.</w:t>
      </w:r>
    </w:p>
    <w:p w:rsidR="00106A2A" w:rsidRPr="00106A2A" w:rsidRDefault="00106A2A" w:rsidP="00106A2A">
      <w:pPr>
        <w:widowControl/>
        <w:spacing w:before="120" w:after="120" w:line="360" w:lineRule="auto"/>
        <w:rPr>
          <w:rFonts w:eastAsia="Calibri"/>
          <w:b/>
          <w:bCs/>
          <w:i/>
          <w:iCs/>
          <w:lang w:eastAsia="en-US"/>
        </w:rPr>
      </w:pPr>
      <w:r w:rsidRPr="00106A2A">
        <w:rPr>
          <w:rFonts w:eastAsia="Calibri"/>
          <w:b/>
          <w:i/>
          <w:lang w:eastAsia="en-US"/>
        </w:rPr>
        <w:t>Таблици с качествени и количествени данни за въздействието на плана, като образецът е представен по-долу:</w:t>
      </w:r>
    </w:p>
    <w:tbl>
      <w:tblPr>
        <w:tblStyle w:val="TableGrid1"/>
        <w:tblW w:w="9351" w:type="dxa"/>
        <w:tblLook w:val="04A0" w:firstRow="1" w:lastRow="0" w:firstColumn="1" w:lastColumn="0" w:noHBand="0" w:noVBand="1"/>
      </w:tblPr>
      <w:tblGrid>
        <w:gridCol w:w="1835"/>
        <w:gridCol w:w="1733"/>
        <w:gridCol w:w="1417"/>
        <w:gridCol w:w="1559"/>
        <w:gridCol w:w="1560"/>
        <w:gridCol w:w="2126"/>
      </w:tblGrid>
      <w:tr w:rsidR="00106A2A" w:rsidRPr="00106A2A" w:rsidTr="006919B6">
        <w:trPr>
          <w:trHeight w:val="630"/>
        </w:trPr>
        <w:tc>
          <w:tcPr>
            <w:tcW w:w="1696" w:type="dxa"/>
            <w:vMerge w:val="restart"/>
            <w:vAlign w:val="center"/>
            <w:hideMark/>
          </w:tcPr>
          <w:p w:rsidR="00106A2A" w:rsidRPr="00106A2A" w:rsidRDefault="00106A2A" w:rsidP="00106A2A">
            <w:pPr>
              <w:widowControl/>
              <w:spacing w:before="120" w:after="120"/>
              <w:jc w:val="center"/>
              <w:rPr>
                <w:b/>
                <w:bCs/>
                <w:i/>
                <w:iCs/>
              </w:rPr>
            </w:pPr>
            <w:r w:rsidRPr="00106A2A">
              <w:rPr>
                <w:b/>
                <w:i/>
              </w:rPr>
              <w:t>Компонент</w:t>
            </w:r>
          </w:p>
        </w:tc>
        <w:tc>
          <w:tcPr>
            <w:tcW w:w="7655" w:type="dxa"/>
            <w:gridSpan w:val="5"/>
            <w:hideMark/>
          </w:tcPr>
          <w:p w:rsidR="00106A2A" w:rsidRPr="00106A2A" w:rsidRDefault="00106A2A" w:rsidP="00106A2A">
            <w:pPr>
              <w:widowControl/>
              <w:spacing w:before="120" w:after="120"/>
              <w:rPr>
                <w:b/>
                <w:bCs/>
                <w:i/>
                <w:iCs/>
              </w:rPr>
            </w:pPr>
            <w:r w:rsidRPr="00106A2A">
              <w:rPr>
                <w:b/>
                <w:i/>
              </w:rPr>
              <w:t>Описание на очакваното въздействие на компонента върху:</w:t>
            </w:r>
            <w:r w:rsidRPr="00106A2A">
              <w:rPr>
                <w:b/>
                <w:i/>
              </w:rPr>
              <w:br/>
              <w:t>(въз основа на съответните количествени показатели):</w:t>
            </w:r>
          </w:p>
        </w:tc>
      </w:tr>
      <w:tr w:rsidR="00106A2A" w:rsidRPr="00106A2A" w:rsidTr="006919B6">
        <w:trPr>
          <w:trHeight w:val="1104"/>
        </w:trPr>
        <w:tc>
          <w:tcPr>
            <w:tcW w:w="1696" w:type="dxa"/>
            <w:vMerge/>
            <w:hideMark/>
          </w:tcPr>
          <w:p w:rsidR="00106A2A" w:rsidRPr="00106A2A" w:rsidRDefault="00106A2A" w:rsidP="00106A2A">
            <w:pPr>
              <w:widowControl/>
              <w:spacing w:before="120" w:after="120"/>
              <w:rPr>
                <w:b/>
                <w:bCs/>
                <w:i/>
                <w:iCs/>
              </w:rPr>
            </w:pPr>
          </w:p>
        </w:tc>
        <w:tc>
          <w:tcPr>
            <w:tcW w:w="993" w:type="dxa"/>
            <w:hideMark/>
          </w:tcPr>
          <w:p w:rsidR="00106A2A" w:rsidRPr="00106A2A" w:rsidRDefault="00106A2A" w:rsidP="00106A2A">
            <w:pPr>
              <w:widowControl/>
              <w:spacing w:before="120" w:after="120"/>
              <w:rPr>
                <w:b/>
                <w:bCs/>
                <w:i/>
                <w:iCs/>
              </w:rPr>
            </w:pPr>
            <w:r w:rsidRPr="00106A2A">
              <w:rPr>
                <w:b/>
                <w:i/>
              </w:rPr>
              <w:t>Енергийна ефективност</w:t>
            </w:r>
          </w:p>
        </w:tc>
        <w:tc>
          <w:tcPr>
            <w:tcW w:w="1417" w:type="dxa"/>
            <w:hideMark/>
          </w:tcPr>
          <w:p w:rsidR="00106A2A" w:rsidRPr="00106A2A" w:rsidRDefault="00106A2A" w:rsidP="00106A2A">
            <w:pPr>
              <w:widowControl/>
              <w:spacing w:before="120" w:after="120"/>
              <w:rPr>
                <w:b/>
                <w:bCs/>
                <w:i/>
                <w:iCs/>
              </w:rPr>
            </w:pPr>
            <w:r w:rsidRPr="00106A2A">
              <w:rPr>
                <w:b/>
                <w:i/>
              </w:rPr>
              <w:t>Саниране на сгради</w:t>
            </w:r>
          </w:p>
        </w:tc>
        <w:tc>
          <w:tcPr>
            <w:tcW w:w="1559" w:type="dxa"/>
            <w:hideMark/>
          </w:tcPr>
          <w:p w:rsidR="00106A2A" w:rsidRPr="00106A2A" w:rsidRDefault="00106A2A" w:rsidP="00106A2A">
            <w:pPr>
              <w:widowControl/>
              <w:spacing w:before="120" w:after="120"/>
              <w:rPr>
                <w:b/>
                <w:bCs/>
                <w:i/>
                <w:iCs/>
              </w:rPr>
            </w:pPr>
            <w:r w:rsidRPr="00106A2A">
              <w:rPr>
                <w:b/>
                <w:i/>
              </w:rPr>
              <w:t>Мобилност и транспорт с нулеви и с ниски емисии</w:t>
            </w:r>
          </w:p>
        </w:tc>
        <w:tc>
          <w:tcPr>
            <w:tcW w:w="1560" w:type="dxa"/>
            <w:hideMark/>
          </w:tcPr>
          <w:p w:rsidR="00106A2A" w:rsidRPr="00106A2A" w:rsidRDefault="00106A2A" w:rsidP="00106A2A">
            <w:pPr>
              <w:widowControl/>
              <w:spacing w:before="120" w:after="120"/>
              <w:rPr>
                <w:b/>
                <w:bCs/>
                <w:i/>
                <w:iCs/>
              </w:rPr>
            </w:pPr>
            <w:r w:rsidRPr="00106A2A">
              <w:rPr>
                <w:b/>
                <w:i/>
              </w:rPr>
              <w:t>Намаление на емисиите на парникови газове</w:t>
            </w:r>
          </w:p>
        </w:tc>
        <w:tc>
          <w:tcPr>
            <w:tcW w:w="2126" w:type="dxa"/>
            <w:hideMark/>
          </w:tcPr>
          <w:p w:rsidR="00106A2A" w:rsidRPr="00106A2A" w:rsidRDefault="00106A2A" w:rsidP="00106A2A">
            <w:pPr>
              <w:widowControl/>
              <w:spacing w:before="120" w:after="120"/>
              <w:rPr>
                <w:b/>
                <w:bCs/>
                <w:i/>
                <w:iCs/>
              </w:rPr>
            </w:pPr>
            <w:r w:rsidRPr="00106A2A">
              <w:rPr>
                <w:b/>
                <w:i/>
              </w:rPr>
              <w:t>Намаляване на броя на уязвимите домакинства и уязвимите ползватели на транспорт (единица: домакинства)</w:t>
            </w:r>
          </w:p>
        </w:tc>
      </w:tr>
      <w:tr w:rsidR="00106A2A" w:rsidRPr="00106A2A" w:rsidTr="006919B6">
        <w:trPr>
          <w:trHeight w:val="458"/>
        </w:trPr>
        <w:tc>
          <w:tcPr>
            <w:tcW w:w="1696" w:type="dxa"/>
            <w:noWrap/>
          </w:tcPr>
          <w:p w:rsidR="00106A2A" w:rsidRPr="00106A2A" w:rsidRDefault="00106A2A" w:rsidP="00106A2A">
            <w:pPr>
              <w:widowControl/>
              <w:spacing w:before="120" w:after="120"/>
              <w:rPr>
                <w:b/>
                <w:bCs/>
                <w:i/>
                <w:iCs/>
              </w:rPr>
            </w:pPr>
            <w:r w:rsidRPr="00106A2A">
              <w:rPr>
                <w:b/>
                <w:i/>
              </w:rPr>
              <w:t>Общ план</w:t>
            </w:r>
          </w:p>
        </w:tc>
        <w:tc>
          <w:tcPr>
            <w:tcW w:w="993" w:type="dxa"/>
            <w:noWrap/>
          </w:tcPr>
          <w:p w:rsidR="00106A2A" w:rsidRPr="00106A2A" w:rsidRDefault="00106A2A" w:rsidP="00106A2A">
            <w:pPr>
              <w:widowControl/>
              <w:spacing w:before="120" w:after="120"/>
              <w:rPr>
                <w:b/>
                <w:bCs/>
                <w:i/>
                <w:iCs/>
              </w:rPr>
            </w:pPr>
          </w:p>
        </w:tc>
        <w:tc>
          <w:tcPr>
            <w:tcW w:w="1417" w:type="dxa"/>
            <w:noWrap/>
          </w:tcPr>
          <w:p w:rsidR="00106A2A" w:rsidRPr="00106A2A" w:rsidRDefault="00106A2A" w:rsidP="00106A2A">
            <w:pPr>
              <w:widowControl/>
              <w:spacing w:before="120" w:after="120"/>
              <w:rPr>
                <w:b/>
                <w:bCs/>
                <w:i/>
                <w:iCs/>
              </w:rPr>
            </w:pPr>
          </w:p>
        </w:tc>
        <w:tc>
          <w:tcPr>
            <w:tcW w:w="1559" w:type="dxa"/>
            <w:noWrap/>
          </w:tcPr>
          <w:p w:rsidR="00106A2A" w:rsidRPr="00106A2A" w:rsidRDefault="00106A2A" w:rsidP="00106A2A">
            <w:pPr>
              <w:widowControl/>
              <w:spacing w:before="120" w:after="120"/>
              <w:rPr>
                <w:b/>
                <w:bCs/>
                <w:i/>
                <w:iCs/>
              </w:rPr>
            </w:pPr>
          </w:p>
        </w:tc>
        <w:tc>
          <w:tcPr>
            <w:tcW w:w="1560" w:type="dxa"/>
            <w:noWrap/>
          </w:tcPr>
          <w:p w:rsidR="00106A2A" w:rsidRPr="00106A2A" w:rsidRDefault="00106A2A" w:rsidP="00106A2A">
            <w:pPr>
              <w:widowControl/>
              <w:spacing w:before="120" w:after="120"/>
              <w:rPr>
                <w:b/>
                <w:bCs/>
                <w:i/>
                <w:iCs/>
              </w:rPr>
            </w:pPr>
          </w:p>
        </w:tc>
        <w:tc>
          <w:tcPr>
            <w:tcW w:w="2126" w:type="dxa"/>
            <w:noWrap/>
          </w:tcPr>
          <w:p w:rsidR="00106A2A" w:rsidRPr="00106A2A" w:rsidRDefault="00106A2A" w:rsidP="00106A2A">
            <w:pPr>
              <w:widowControl/>
              <w:spacing w:before="120" w:after="120"/>
              <w:rPr>
                <w:b/>
                <w:bCs/>
                <w:i/>
                <w:iCs/>
              </w:rPr>
            </w:pPr>
          </w:p>
        </w:tc>
      </w:tr>
      <w:tr w:rsidR="00106A2A" w:rsidRPr="00106A2A" w:rsidTr="006919B6">
        <w:trPr>
          <w:trHeight w:val="458"/>
        </w:trPr>
        <w:tc>
          <w:tcPr>
            <w:tcW w:w="1696" w:type="dxa"/>
            <w:noWrap/>
            <w:hideMark/>
          </w:tcPr>
          <w:p w:rsidR="00106A2A" w:rsidRPr="00106A2A" w:rsidRDefault="00106A2A" w:rsidP="00106A2A">
            <w:pPr>
              <w:widowControl/>
              <w:spacing w:before="120" w:after="120"/>
              <w:rPr>
                <w:b/>
                <w:bCs/>
                <w:i/>
                <w:iCs/>
              </w:rPr>
            </w:pPr>
            <w:r w:rsidRPr="00106A2A">
              <w:rPr>
                <w:b/>
                <w:i/>
              </w:rPr>
              <w:t>Сектор „Сгради“</w:t>
            </w:r>
          </w:p>
        </w:tc>
        <w:tc>
          <w:tcPr>
            <w:tcW w:w="993" w:type="dxa"/>
            <w:noWrap/>
            <w:hideMark/>
          </w:tcPr>
          <w:p w:rsidR="00106A2A" w:rsidRPr="00106A2A" w:rsidRDefault="00106A2A" w:rsidP="00106A2A">
            <w:pPr>
              <w:widowControl/>
              <w:spacing w:before="120" w:after="120"/>
              <w:rPr>
                <w:b/>
                <w:bCs/>
                <w:i/>
                <w:iCs/>
              </w:rPr>
            </w:pPr>
          </w:p>
        </w:tc>
        <w:tc>
          <w:tcPr>
            <w:tcW w:w="1417" w:type="dxa"/>
            <w:noWrap/>
            <w:hideMark/>
          </w:tcPr>
          <w:p w:rsidR="00106A2A" w:rsidRPr="00106A2A" w:rsidRDefault="00106A2A" w:rsidP="00106A2A">
            <w:pPr>
              <w:widowControl/>
              <w:spacing w:before="120" w:after="120"/>
              <w:rPr>
                <w:b/>
                <w:bCs/>
                <w:i/>
                <w:iCs/>
              </w:rPr>
            </w:pPr>
          </w:p>
        </w:tc>
        <w:tc>
          <w:tcPr>
            <w:tcW w:w="1559" w:type="dxa"/>
            <w:noWrap/>
            <w:hideMark/>
          </w:tcPr>
          <w:p w:rsidR="00106A2A" w:rsidRPr="00106A2A" w:rsidRDefault="00106A2A" w:rsidP="00106A2A">
            <w:pPr>
              <w:widowControl/>
              <w:spacing w:before="120" w:after="120"/>
              <w:rPr>
                <w:b/>
                <w:bCs/>
                <w:i/>
                <w:iCs/>
              </w:rPr>
            </w:pPr>
          </w:p>
        </w:tc>
        <w:tc>
          <w:tcPr>
            <w:tcW w:w="1560" w:type="dxa"/>
            <w:noWrap/>
            <w:hideMark/>
          </w:tcPr>
          <w:p w:rsidR="00106A2A" w:rsidRPr="00106A2A" w:rsidRDefault="00106A2A" w:rsidP="00106A2A">
            <w:pPr>
              <w:widowControl/>
              <w:spacing w:before="120" w:after="120"/>
              <w:rPr>
                <w:b/>
                <w:bCs/>
                <w:i/>
                <w:iCs/>
              </w:rPr>
            </w:pPr>
          </w:p>
        </w:tc>
        <w:tc>
          <w:tcPr>
            <w:tcW w:w="2126" w:type="dxa"/>
            <w:noWrap/>
            <w:hideMark/>
          </w:tcPr>
          <w:p w:rsidR="00106A2A" w:rsidRPr="00106A2A" w:rsidRDefault="00106A2A" w:rsidP="00106A2A">
            <w:pPr>
              <w:widowControl/>
              <w:spacing w:before="120" w:after="120"/>
              <w:rPr>
                <w:b/>
                <w:bCs/>
                <w:i/>
                <w:iCs/>
              </w:rPr>
            </w:pPr>
          </w:p>
        </w:tc>
      </w:tr>
      <w:tr w:rsidR="00106A2A" w:rsidRPr="00106A2A" w:rsidTr="006919B6">
        <w:trPr>
          <w:trHeight w:val="288"/>
        </w:trPr>
        <w:tc>
          <w:tcPr>
            <w:tcW w:w="1696" w:type="dxa"/>
            <w:noWrap/>
          </w:tcPr>
          <w:p w:rsidR="00106A2A" w:rsidRPr="00106A2A" w:rsidRDefault="00106A2A" w:rsidP="00106A2A">
            <w:pPr>
              <w:widowControl/>
              <w:spacing w:before="120" w:after="120"/>
              <w:rPr>
                <w:b/>
                <w:bCs/>
                <w:i/>
                <w:iCs/>
              </w:rPr>
            </w:pPr>
            <w:r w:rsidRPr="00106A2A">
              <w:rPr>
                <w:b/>
                <w:i/>
              </w:rPr>
              <w:t>Сектор на автомобилния транспорт</w:t>
            </w:r>
          </w:p>
        </w:tc>
        <w:tc>
          <w:tcPr>
            <w:tcW w:w="993" w:type="dxa"/>
            <w:noWrap/>
          </w:tcPr>
          <w:p w:rsidR="00106A2A" w:rsidRPr="00106A2A" w:rsidRDefault="00106A2A" w:rsidP="00106A2A">
            <w:pPr>
              <w:widowControl/>
              <w:spacing w:before="120" w:after="120"/>
              <w:rPr>
                <w:b/>
                <w:bCs/>
                <w:i/>
                <w:iCs/>
              </w:rPr>
            </w:pPr>
          </w:p>
        </w:tc>
        <w:tc>
          <w:tcPr>
            <w:tcW w:w="1417" w:type="dxa"/>
            <w:noWrap/>
          </w:tcPr>
          <w:p w:rsidR="00106A2A" w:rsidRPr="00106A2A" w:rsidRDefault="00106A2A" w:rsidP="00106A2A">
            <w:pPr>
              <w:widowControl/>
              <w:spacing w:before="120" w:after="120"/>
              <w:rPr>
                <w:b/>
                <w:bCs/>
                <w:i/>
                <w:iCs/>
              </w:rPr>
            </w:pPr>
          </w:p>
        </w:tc>
        <w:tc>
          <w:tcPr>
            <w:tcW w:w="1559" w:type="dxa"/>
            <w:noWrap/>
          </w:tcPr>
          <w:p w:rsidR="00106A2A" w:rsidRPr="00106A2A" w:rsidRDefault="00106A2A" w:rsidP="00106A2A">
            <w:pPr>
              <w:widowControl/>
              <w:spacing w:before="120" w:after="120"/>
              <w:rPr>
                <w:b/>
                <w:bCs/>
                <w:i/>
                <w:iCs/>
              </w:rPr>
            </w:pPr>
          </w:p>
        </w:tc>
        <w:tc>
          <w:tcPr>
            <w:tcW w:w="1560" w:type="dxa"/>
            <w:noWrap/>
          </w:tcPr>
          <w:p w:rsidR="00106A2A" w:rsidRPr="00106A2A" w:rsidRDefault="00106A2A" w:rsidP="00106A2A">
            <w:pPr>
              <w:widowControl/>
              <w:spacing w:before="120" w:after="120"/>
              <w:rPr>
                <w:b/>
                <w:bCs/>
                <w:i/>
                <w:iCs/>
              </w:rPr>
            </w:pPr>
          </w:p>
        </w:tc>
        <w:tc>
          <w:tcPr>
            <w:tcW w:w="2126" w:type="dxa"/>
            <w:noWrap/>
          </w:tcPr>
          <w:p w:rsidR="00106A2A" w:rsidRPr="00106A2A" w:rsidRDefault="00106A2A" w:rsidP="00106A2A">
            <w:pPr>
              <w:widowControl/>
              <w:spacing w:before="120" w:after="120"/>
              <w:rPr>
                <w:b/>
                <w:bCs/>
                <w:i/>
                <w:iCs/>
              </w:rPr>
            </w:pPr>
          </w:p>
        </w:tc>
      </w:tr>
    </w:tbl>
    <w:p w:rsidR="00106A2A" w:rsidRPr="00106A2A" w:rsidRDefault="00106A2A" w:rsidP="00106A2A">
      <w:pPr>
        <w:widowControl/>
        <w:spacing w:before="120" w:after="120"/>
        <w:jc w:val="both"/>
        <w:rPr>
          <w:rFonts w:eastAsia="Calibri"/>
          <w:b/>
          <w:bCs/>
          <w:i/>
          <w:iCs/>
          <w:lang w:eastAsia="en-IE"/>
        </w:rPr>
      </w:pPr>
    </w:p>
    <w:p w:rsidR="00106A2A" w:rsidRPr="00106A2A" w:rsidRDefault="00106A2A" w:rsidP="00106A2A">
      <w:pPr>
        <w:widowControl/>
        <w:spacing w:before="120" w:after="120" w:line="360" w:lineRule="auto"/>
        <w:rPr>
          <w:rFonts w:eastAsia="Calibri"/>
          <w:b/>
          <w:bCs/>
          <w:i/>
          <w:iCs/>
          <w:lang w:eastAsia="en-US"/>
        </w:rPr>
      </w:pPr>
      <w:r w:rsidRPr="00106A2A">
        <w:rPr>
          <w:rFonts w:eastAsia="Calibri"/>
          <w:lang w:eastAsia="en-US"/>
        </w:rPr>
        <w:br w:type="page"/>
      </w:r>
    </w:p>
    <w:tbl>
      <w:tblPr>
        <w:tblStyle w:val="TableGrid1"/>
        <w:tblW w:w="5610" w:type="pct"/>
        <w:tblInd w:w="-459" w:type="dxa"/>
        <w:tblLayout w:type="fixed"/>
        <w:tblLook w:val="04A0" w:firstRow="1" w:lastRow="0" w:firstColumn="1" w:lastColumn="0" w:noHBand="0" w:noVBand="1"/>
      </w:tblPr>
      <w:tblGrid>
        <w:gridCol w:w="3616"/>
        <w:gridCol w:w="1145"/>
        <w:gridCol w:w="1100"/>
        <w:gridCol w:w="1047"/>
        <w:gridCol w:w="779"/>
        <w:gridCol w:w="911"/>
        <w:gridCol w:w="1567"/>
      </w:tblGrid>
      <w:tr w:rsidR="00106A2A" w:rsidRPr="00106A2A" w:rsidTr="006919B6">
        <w:trPr>
          <w:trHeight w:val="630"/>
        </w:trPr>
        <w:tc>
          <w:tcPr>
            <w:tcW w:w="1779" w:type="pct"/>
            <w:vMerge w:val="restart"/>
            <w:vAlign w:val="center"/>
            <w:hideMark/>
          </w:tcPr>
          <w:p w:rsidR="00106A2A" w:rsidRPr="00106A2A" w:rsidRDefault="00106A2A" w:rsidP="00106A2A">
            <w:pPr>
              <w:widowControl/>
              <w:jc w:val="center"/>
              <w:rPr>
                <w:b/>
                <w:bCs/>
                <w:i/>
                <w:iCs/>
              </w:rPr>
            </w:pPr>
            <w:r w:rsidRPr="00106A2A">
              <w:rPr>
                <w:b/>
                <w:i/>
              </w:rPr>
              <w:t>Компонент</w:t>
            </w:r>
          </w:p>
        </w:tc>
        <w:tc>
          <w:tcPr>
            <w:tcW w:w="3221" w:type="pct"/>
            <w:gridSpan w:val="6"/>
          </w:tcPr>
          <w:p w:rsidR="00106A2A" w:rsidRPr="00106A2A" w:rsidRDefault="00106A2A" w:rsidP="00106A2A">
            <w:pPr>
              <w:widowControl/>
              <w:rPr>
                <w:b/>
                <w:bCs/>
                <w:i/>
                <w:iCs/>
              </w:rPr>
            </w:pPr>
            <w:r w:rsidRPr="00106A2A">
              <w:rPr>
                <w:b/>
                <w:i/>
              </w:rPr>
              <w:t>Количествено определяне на въздействието (ако има такова)</w:t>
            </w:r>
            <w:r w:rsidRPr="00106A2A">
              <w:rPr>
                <w:b/>
                <w:i/>
              </w:rPr>
              <w:br/>
              <w:t>т.е. процентна разлика спрямо неутралното по отношение на политиката базово равнище</w:t>
            </w:r>
          </w:p>
          <w:p w:rsidR="00106A2A" w:rsidRPr="00106A2A" w:rsidRDefault="00106A2A" w:rsidP="00106A2A">
            <w:pPr>
              <w:widowControl/>
              <w:rPr>
                <w:b/>
                <w:bCs/>
                <w:i/>
                <w:iCs/>
              </w:rPr>
            </w:pPr>
          </w:p>
        </w:tc>
      </w:tr>
      <w:tr w:rsidR="00106A2A" w:rsidRPr="00106A2A" w:rsidTr="006919B6">
        <w:trPr>
          <w:trHeight w:val="288"/>
        </w:trPr>
        <w:tc>
          <w:tcPr>
            <w:tcW w:w="1779" w:type="pct"/>
            <w:vMerge/>
            <w:hideMark/>
          </w:tcPr>
          <w:p w:rsidR="00106A2A" w:rsidRPr="00106A2A" w:rsidRDefault="00106A2A" w:rsidP="00106A2A">
            <w:pPr>
              <w:widowControl/>
              <w:rPr>
                <w:b/>
                <w:bCs/>
                <w:i/>
                <w:iCs/>
              </w:rPr>
            </w:pPr>
          </w:p>
        </w:tc>
        <w:tc>
          <w:tcPr>
            <w:tcW w:w="1619" w:type="pct"/>
            <w:gridSpan w:val="3"/>
            <w:hideMark/>
          </w:tcPr>
          <w:p w:rsidR="00106A2A" w:rsidRPr="00106A2A" w:rsidRDefault="00106A2A" w:rsidP="00106A2A">
            <w:pPr>
              <w:widowControl/>
              <w:rPr>
                <w:b/>
                <w:bCs/>
                <w:i/>
                <w:iCs/>
              </w:rPr>
            </w:pPr>
            <w:r w:rsidRPr="00106A2A">
              <w:rPr>
                <w:b/>
                <w:i/>
              </w:rPr>
              <w:t>Краткосрочен план (за срок от три години)</w:t>
            </w:r>
          </w:p>
        </w:tc>
        <w:tc>
          <w:tcPr>
            <w:tcW w:w="1602" w:type="pct"/>
            <w:gridSpan w:val="3"/>
            <w:hideMark/>
          </w:tcPr>
          <w:p w:rsidR="00106A2A" w:rsidRPr="00106A2A" w:rsidRDefault="00106A2A" w:rsidP="00106A2A">
            <w:pPr>
              <w:widowControl/>
              <w:rPr>
                <w:b/>
                <w:bCs/>
                <w:i/>
                <w:iCs/>
              </w:rPr>
            </w:pPr>
            <w:r w:rsidRPr="00106A2A">
              <w:rPr>
                <w:b/>
                <w:i/>
              </w:rPr>
              <w:t>Средносрочен план (до края на плана)</w:t>
            </w:r>
          </w:p>
          <w:p w:rsidR="00106A2A" w:rsidRPr="00106A2A" w:rsidRDefault="00106A2A" w:rsidP="00106A2A">
            <w:pPr>
              <w:widowControl/>
              <w:rPr>
                <w:b/>
                <w:bCs/>
                <w:i/>
                <w:iCs/>
              </w:rPr>
            </w:pPr>
          </w:p>
        </w:tc>
      </w:tr>
      <w:tr w:rsidR="00106A2A" w:rsidRPr="00106A2A" w:rsidTr="006919B6">
        <w:trPr>
          <w:trHeight w:val="630"/>
        </w:trPr>
        <w:tc>
          <w:tcPr>
            <w:tcW w:w="1779" w:type="pct"/>
            <w:vMerge/>
            <w:hideMark/>
          </w:tcPr>
          <w:p w:rsidR="00106A2A" w:rsidRPr="00106A2A" w:rsidRDefault="00106A2A" w:rsidP="00106A2A">
            <w:pPr>
              <w:widowControl/>
              <w:rPr>
                <w:b/>
                <w:bCs/>
                <w:i/>
                <w:iCs/>
              </w:rPr>
            </w:pPr>
          </w:p>
        </w:tc>
        <w:tc>
          <w:tcPr>
            <w:tcW w:w="563" w:type="pct"/>
            <w:hideMark/>
          </w:tcPr>
          <w:p w:rsidR="00106A2A" w:rsidRPr="00106A2A" w:rsidRDefault="00106A2A" w:rsidP="00106A2A">
            <w:pPr>
              <w:widowControl/>
              <w:rPr>
                <w:b/>
                <w:bCs/>
                <w:i/>
                <w:iCs/>
              </w:rPr>
            </w:pPr>
            <w:r w:rsidRPr="00106A2A">
              <w:rPr>
                <w:b/>
                <w:i/>
              </w:rPr>
              <w:t>Емисии на парникови газове</w:t>
            </w:r>
          </w:p>
        </w:tc>
        <w:tc>
          <w:tcPr>
            <w:tcW w:w="541" w:type="pct"/>
            <w:hideMark/>
          </w:tcPr>
          <w:p w:rsidR="00106A2A" w:rsidRPr="00106A2A" w:rsidRDefault="00106A2A" w:rsidP="00106A2A">
            <w:pPr>
              <w:widowControl/>
              <w:rPr>
                <w:b/>
                <w:bCs/>
                <w:i/>
                <w:iCs/>
              </w:rPr>
            </w:pPr>
            <w:r w:rsidRPr="00106A2A">
              <w:rPr>
                <w:b/>
                <w:i/>
              </w:rPr>
              <w:t>Домакинства в енергийна бедност</w:t>
            </w:r>
          </w:p>
        </w:tc>
        <w:tc>
          <w:tcPr>
            <w:tcW w:w="515" w:type="pct"/>
            <w:hideMark/>
          </w:tcPr>
          <w:p w:rsidR="00106A2A" w:rsidRPr="00106A2A" w:rsidRDefault="00106A2A" w:rsidP="00106A2A">
            <w:pPr>
              <w:widowControl/>
              <w:rPr>
                <w:b/>
                <w:bCs/>
                <w:i/>
                <w:iCs/>
              </w:rPr>
            </w:pPr>
            <w:r w:rsidRPr="00106A2A">
              <w:rPr>
                <w:b/>
                <w:i/>
              </w:rPr>
              <w:t>Домакинства в транспортна бедност</w:t>
            </w:r>
          </w:p>
        </w:tc>
        <w:tc>
          <w:tcPr>
            <w:tcW w:w="383" w:type="pct"/>
            <w:hideMark/>
          </w:tcPr>
          <w:p w:rsidR="00106A2A" w:rsidRPr="00106A2A" w:rsidRDefault="00106A2A" w:rsidP="00106A2A">
            <w:pPr>
              <w:widowControl/>
              <w:rPr>
                <w:b/>
                <w:bCs/>
                <w:i/>
                <w:iCs/>
              </w:rPr>
            </w:pPr>
            <w:r w:rsidRPr="00106A2A">
              <w:rPr>
                <w:b/>
                <w:i/>
              </w:rPr>
              <w:t>Емисии на парникови газове</w:t>
            </w:r>
          </w:p>
        </w:tc>
        <w:tc>
          <w:tcPr>
            <w:tcW w:w="448" w:type="pct"/>
            <w:hideMark/>
          </w:tcPr>
          <w:p w:rsidR="00106A2A" w:rsidRPr="00106A2A" w:rsidRDefault="00106A2A" w:rsidP="00106A2A">
            <w:pPr>
              <w:widowControl/>
              <w:rPr>
                <w:b/>
                <w:bCs/>
                <w:i/>
                <w:iCs/>
              </w:rPr>
            </w:pPr>
            <w:r w:rsidRPr="00106A2A">
              <w:rPr>
                <w:b/>
                <w:i/>
              </w:rPr>
              <w:t>Домакинства в енергийна бедност</w:t>
            </w:r>
          </w:p>
        </w:tc>
        <w:tc>
          <w:tcPr>
            <w:tcW w:w="771" w:type="pct"/>
          </w:tcPr>
          <w:p w:rsidR="00106A2A" w:rsidRPr="00106A2A" w:rsidRDefault="00106A2A" w:rsidP="00106A2A">
            <w:pPr>
              <w:widowControl/>
              <w:rPr>
                <w:b/>
                <w:bCs/>
                <w:i/>
                <w:iCs/>
              </w:rPr>
            </w:pPr>
            <w:r w:rsidRPr="00106A2A">
              <w:rPr>
                <w:b/>
                <w:i/>
              </w:rPr>
              <w:t>Домакинства в транспортна бедност</w:t>
            </w:r>
          </w:p>
        </w:tc>
      </w:tr>
      <w:tr w:rsidR="00106A2A" w:rsidRPr="00106A2A" w:rsidTr="006919B6">
        <w:trPr>
          <w:trHeight w:val="288"/>
        </w:trPr>
        <w:tc>
          <w:tcPr>
            <w:tcW w:w="1779" w:type="pct"/>
            <w:noWrap/>
            <w:hideMark/>
          </w:tcPr>
          <w:p w:rsidR="00106A2A" w:rsidRPr="00106A2A" w:rsidRDefault="00106A2A" w:rsidP="00106A2A">
            <w:pPr>
              <w:widowControl/>
              <w:rPr>
                <w:b/>
                <w:bCs/>
                <w:i/>
                <w:iCs/>
              </w:rPr>
            </w:pPr>
            <w:r w:rsidRPr="00106A2A">
              <w:rPr>
                <w:b/>
                <w:i/>
              </w:rPr>
              <w:t>Общ план</w:t>
            </w:r>
          </w:p>
        </w:tc>
        <w:tc>
          <w:tcPr>
            <w:tcW w:w="563" w:type="pct"/>
            <w:noWrap/>
            <w:hideMark/>
          </w:tcPr>
          <w:p w:rsidR="00106A2A" w:rsidRPr="00106A2A" w:rsidRDefault="00106A2A" w:rsidP="00106A2A">
            <w:pPr>
              <w:widowControl/>
              <w:rPr>
                <w:b/>
                <w:bCs/>
                <w:i/>
                <w:iCs/>
              </w:rPr>
            </w:pPr>
            <w:r w:rsidRPr="00106A2A">
              <w:rPr>
                <w:b/>
                <w:i/>
              </w:rPr>
              <w:t> </w:t>
            </w:r>
          </w:p>
        </w:tc>
        <w:tc>
          <w:tcPr>
            <w:tcW w:w="541" w:type="pct"/>
            <w:noWrap/>
            <w:hideMark/>
          </w:tcPr>
          <w:p w:rsidR="00106A2A" w:rsidRPr="00106A2A" w:rsidRDefault="00106A2A" w:rsidP="00106A2A">
            <w:pPr>
              <w:widowControl/>
              <w:rPr>
                <w:b/>
                <w:bCs/>
                <w:i/>
                <w:iCs/>
              </w:rPr>
            </w:pPr>
            <w:r w:rsidRPr="00106A2A">
              <w:rPr>
                <w:b/>
                <w:i/>
              </w:rPr>
              <w:t> </w:t>
            </w:r>
          </w:p>
        </w:tc>
        <w:tc>
          <w:tcPr>
            <w:tcW w:w="515" w:type="pct"/>
            <w:noWrap/>
            <w:hideMark/>
          </w:tcPr>
          <w:p w:rsidR="00106A2A" w:rsidRPr="00106A2A" w:rsidRDefault="00106A2A" w:rsidP="00106A2A">
            <w:pPr>
              <w:widowControl/>
              <w:rPr>
                <w:b/>
                <w:bCs/>
                <w:i/>
                <w:iCs/>
              </w:rPr>
            </w:pPr>
            <w:r w:rsidRPr="00106A2A">
              <w:rPr>
                <w:b/>
                <w:i/>
              </w:rPr>
              <w:t> </w:t>
            </w:r>
          </w:p>
        </w:tc>
        <w:tc>
          <w:tcPr>
            <w:tcW w:w="383" w:type="pct"/>
            <w:noWrap/>
            <w:hideMark/>
          </w:tcPr>
          <w:p w:rsidR="00106A2A" w:rsidRPr="00106A2A" w:rsidRDefault="00106A2A" w:rsidP="00106A2A">
            <w:pPr>
              <w:widowControl/>
              <w:rPr>
                <w:b/>
                <w:bCs/>
                <w:i/>
                <w:iCs/>
              </w:rPr>
            </w:pPr>
            <w:r w:rsidRPr="00106A2A">
              <w:rPr>
                <w:b/>
                <w:i/>
              </w:rPr>
              <w:t> </w:t>
            </w:r>
          </w:p>
        </w:tc>
        <w:tc>
          <w:tcPr>
            <w:tcW w:w="448" w:type="pct"/>
            <w:noWrap/>
            <w:hideMark/>
          </w:tcPr>
          <w:p w:rsidR="00106A2A" w:rsidRPr="00106A2A" w:rsidRDefault="00106A2A" w:rsidP="00106A2A">
            <w:pPr>
              <w:widowControl/>
              <w:rPr>
                <w:b/>
                <w:bCs/>
                <w:i/>
                <w:iCs/>
              </w:rPr>
            </w:pPr>
            <w:r w:rsidRPr="00106A2A">
              <w:rPr>
                <w:b/>
                <w:i/>
              </w:rPr>
              <w:t> </w:t>
            </w:r>
          </w:p>
        </w:tc>
        <w:tc>
          <w:tcPr>
            <w:tcW w:w="771" w:type="pct"/>
          </w:tcPr>
          <w:p w:rsidR="00106A2A" w:rsidRPr="00106A2A" w:rsidRDefault="00106A2A" w:rsidP="00106A2A">
            <w:pPr>
              <w:widowControl/>
              <w:rPr>
                <w:b/>
                <w:bCs/>
                <w:i/>
                <w:iCs/>
              </w:rPr>
            </w:pPr>
          </w:p>
        </w:tc>
      </w:tr>
      <w:tr w:rsidR="00106A2A" w:rsidRPr="00106A2A" w:rsidTr="006919B6">
        <w:trPr>
          <w:trHeight w:val="288"/>
        </w:trPr>
        <w:tc>
          <w:tcPr>
            <w:tcW w:w="1779" w:type="pct"/>
            <w:noWrap/>
          </w:tcPr>
          <w:p w:rsidR="00106A2A" w:rsidRPr="00106A2A" w:rsidRDefault="00106A2A" w:rsidP="00106A2A">
            <w:pPr>
              <w:widowControl/>
              <w:rPr>
                <w:b/>
                <w:bCs/>
                <w:i/>
                <w:iCs/>
              </w:rPr>
            </w:pPr>
            <w:r w:rsidRPr="00106A2A">
              <w:rPr>
                <w:b/>
                <w:i/>
              </w:rPr>
              <w:t>Сектор „Сгради“</w:t>
            </w:r>
          </w:p>
        </w:tc>
        <w:tc>
          <w:tcPr>
            <w:tcW w:w="563" w:type="pct"/>
            <w:noWrap/>
          </w:tcPr>
          <w:p w:rsidR="00106A2A" w:rsidRPr="00106A2A" w:rsidRDefault="00106A2A" w:rsidP="00106A2A">
            <w:pPr>
              <w:widowControl/>
              <w:rPr>
                <w:b/>
                <w:bCs/>
                <w:i/>
                <w:iCs/>
              </w:rPr>
            </w:pPr>
          </w:p>
        </w:tc>
        <w:tc>
          <w:tcPr>
            <w:tcW w:w="541" w:type="pct"/>
            <w:noWrap/>
          </w:tcPr>
          <w:p w:rsidR="00106A2A" w:rsidRPr="00106A2A" w:rsidRDefault="00106A2A" w:rsidP="00106A2A">
            <w:pPr>
              <w:widowControl/>
              <w:rPr>
                <w:b/>
                <w:bCs/>
                <w:i/>
                <w:iCs/>
              </w:rPr>
            </w:pPr>
          </w:p>
        </w:tc>
        <w:tc>
          <w:tcPr>
            <w:tcW w:w="515" w:type="pct"/>
            <w:noWrap/>
          </w:tcPr>
          <w:p w:rsidR="00106A2A" w:rsidRPr="00106A2A" w:rsidRDefault="00106A2A" w:rsidP="00106A2A">
            <w:pPr>
              <w:widowControl/>
              <w:rPr>
                <w:b/>
                <w:bCs/>
                <w:i/>
                <w:iCs/>
              </w:rPr>
            </w:pPr>
          </w:p>
        </w:tc>
        <w:tc>
          <w:tcPr>
            <w:tcW w:w="383" w:type="pct"/>
            <w:noWrap/>
          </w:tcPr>
          <w:p w:rsidR="00106A2A" w:rsidRPr="00106A2A" w:rsidRDefault="00106A2A" w:rsidP="00106A2A">
            <w:pPr>
              <w:widowControl/>
              <w:rPr>
                <w:b/>
                <w:bCs/>
                <w:i/>
                <w:iCs/>
              </w:rPr>
            </w:pPr>
          </w:p>
        </w:tc>
        <w:tc>
          <w:tcPr>
            <w:tcW w:w="448" w:type="pct"/>
            <w:noWrap/>
          </w:tcPr>
          <w:p w:rsidR="00106A2A" w:rsidRPr="00106A2A" w:rsidRDefault="00106A2A" w:rsidP="00106A2A">
            <w:pPr>
              <w:widowControl/>
              <w:rPr>
                <w:b/>
                <w:bCs/>
                <w:i/>
                <w:iCs/>
              </w:rPr>
            </w:pPr>
          </w:p>
        </w:tc>
        <w:tc>
          <w:tcPr>
            <w:tcW w:w="771" w:type="pct"/>
          </w:tcPr>
          <w:p w:rsidR="00106A2A" w:rsidRPr="00106A2A" w:rsidRDefault="00106A2A" w:rsidP="00106A2A">
            <w:pPr>
              <w:widowControl/>
              <w:rPr>
                <w:b/>
                <w:bCs/>
                <w:i/>
                <w:iCs/>
              </w:rPr>
            </w:pPr>
          </w:p>
        </w:tc>
      </w:tr>
      <w:tr w:rsidR="00106A2A" w:rsidRPr="00106A2A" w:rsidTr="006919B6">
        <w:trPr>
          <w:trHeight w:val="288"/>
        </w:trPr>
        <w:tc>
          <w:tcPr>
            <w:tcW w:w="1779" w:type="pct"/>
            <w:noWrap/>
          </w:tcPr>
          <w:p w:rsidR="00106A2A" w:rsidRPr="00106A2A" w:rsidRDefault="00106A2A" w:rsidP="00106A2A">
            <w:pPr>
              <w:widowControl/>
              <w:rPr>
                <w:b/>
                <w:bCs/>
                <w:i/>
                <w:iCs/>
              </w:rPr>
            </w:pPr>
            <w:r w:rsidRPr="00106A2A">
              <w:rPr>
                <w:b/>
                <w:i/>
              </w:rPr>
              <w:t>Сектор на автомобилния транспорт</w:t>
            </w:r>
          </w:p>
        </w:tc>
        <w:tc>
          <w:tcPr>
            <w:tcW w:w="563" w:type="pct"/>
            <w:noWrap/>
          </w:tcPr>
          <w:p w:rsidR="00106A2A" w:rsidRPr="00106A2A" w:rsidRDefault="00106A2A" w:rsidP="00106A2A">
            <w:pPr>
              <w:widowControl/>
              <w:rPr>
                <w:b/>
                <w:bCs/>
                <w:i/>
                <w:iCs/>
              </w:rPr>
            </w:pPr>
          </w:p>
        </w:tc>
        <w:tc>
          <w:tcPr>
            <w:tcW w:w="541" w:type="pct"/>
            <w:noWrap/>
          </w:tcPr>
          <w:p w:rsidR="00106A2A" w:rsidRPr="00106A2A" w:rsidRDefault="00106A2A" w:rsidP="00106A2A">
            <w:pPr>
              <w:widowControl/>
              <w:rPr>
                <w:b/>
                <w:bCs/>
                <w:i/>
                <w:iCs/>
              </w:rPr>
            </w:pPr>
          </w:p>
        </w:tc>
        <w:tc>
          <w:tcPr>
            <w:tcW w:w="515" w:type="pct"/>
            <w:noWrap/>
          </w:tcPr>
          <w:p w:rsidR="00106A2A" w:rsidRPr="00106A2A" w:rsidRDefault="00106A2A" w:rsidP="00106A2A">
            <w:pPr>
              <w:widowControl/>
              <w:rPr>
                <w:b/>
                <w:bCs/>
                <w:i/>
                <w:iCs/>
              </w:rPr>
            </w:pPr>
          </w:p>
        </w:tc>
        <w:tc>
          <w:tcPr>
            <w:tcW w:w="383" w:type="pct"/>
            <w:noWrap/>
          </w:tcPr>
          <w:p w:rsidR="00106A2A" w:rsidRPr="00106A2A" w:rsidRDefault="00106A2A" w:rsidP="00106A2A">
            <w:pPr>
              <w:widowControl/>
              <w:rPr>
                <w:b/>
                <w:bCs/>
                <w:i/>
                <w:iCs/>
              </w:rPr>
            </w:pPr>
          </w:p>
        </w:tc>
        <w:tc>
          <w:tcPr>
            <w:tcW w:w="448" w:type="pct"/>
            <w:noWrap/>
          </w:tcPr>
          <w:p w:rsidR="00106A2A" w:rsidRPr="00106A2A" w:rsidRDefault="00106A2A" w:rsidP="00106A2A">
            <w:pPr>
              <w:widowControl/>
              <w:rPr>
                <w:b/>
                <w:bCs/>
                <w:i/>
                <w:iCs/>
              </w:rPr>
            </w:pPr>
          </w:p>
        </w:tc>
        <w:tc>
          <w:tcPr>
            <w:tcW w:w="771" w:type="pct"/>
          </w:tcPr>
          <w:p w:rsidR="00106A2A" w:rsidRPr="00106A2A" w:rsidRDefault="00106A2A" w:rsidP="00106A2A">
            <w:pPr>
              <w:widowControl/>
              <w:rPr>
                <w:b/>
                <w:bCs/>
                <w:i/>
                <w:iCs/>
              </w:rPr>
            </w:pPr>
          </w:p>
        </w:tc>
      </w:tr>
    </w:tbl>
    <w:p w:rsidR="00106A2A" w:rsidRPr="00106A2A" w:rsidRDefault="00106A2A" w:rsidP="00106A2A">
      <w:pPr>
        <w:widowControl/>
        <w:spacing w:before="120" w:after="120"/>
        <w:jc w:val="both"/>
        <w:rPr>
          <w:rFonts w:eastAsia="Calibri"/>
          <w:b/>
          <w:bCs/>
          <w:i/>
          <w:iCs/>
          <w:lang w:eastAsia="en-IE"/>
        </w:rPr>
      </w:pPr>
    </w:p>
    <w:p w:rsidR="00106A2A" w:rsidRPr="00106A2A" w:rsidRDefault="00106A2A" w:rsidP="00106A2A">
      <w:pPr>
        <w:widowControl/>
        <w:spacing w:after="160" w:line="259" w:lineRule="auto"/>
        <w:rPr>
          <w:rFonts w:eastAsia="Calibri"/>
          <w:b/>
          <w:i/>
          <w:lang w:eastAsia="en-US"/>
        </w:rPr>
      </w:pPr>
      <w:r w:rsidRPr="00106A2A">
        <w:rPr>
          <w:rFonts w:eastAsia="Calibri"/>
          <w:b/>
          <w:i/>
          <w:lang w:eastAsia="en-US"/>
        </w:rPr>
        <w:br w:type="page"/>
      </w:r>
    </w:p>
    <w:p w:rsidR="00106A2A" w:rsidRPr="00106A2A" w:rsidRDefault="00106A2A" w:rsidP="00106A2A">
      <w:pPr>
        <w:widowControl/>
        <w:spacing w:before="120" w:after="120" w:line="360" w:lineRule="auto"/>
        <w:jc w:val="both"/>
        <w:rPr>
          <w:rFonts w:eastAsia="Calibri"/>
          <w:b/>
          <w:bCs/>
          <w:i/>
          <w:iCs/>
          <w:lang w:eastAsia="en-US"/>
        </w:rPr>
      </w:pPr>
      <w:r w:rsidRPr="00106A2A">
        <w:rPr>
          <w:rFonts w:eastAsia="Calibri"/>
          <w:b/>
          <w:i/>
          <w:lang w:eastAsia="en-US"/>
        </w:rPr>
        <w:t>Таблица с количествени и качествени данни за очакваното въздействие на мерките за временно пряко подпомагане на доходите върху намаляването на броя на уязвимите домакинства и уязвимите ползватели на транспорт, както и на домакинствата в енергийна и транспортна бедност, като образецът е предоставен по-долу: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662"/>
      </w:tblGrid>
      <w:tr w:rsidR="00106A2A" w:rsidRPr="00106A2A" w:rsidTr="006919B6">
        <w:trPr>
          <w:trHeight w:val="624"/>
        </w:trPr>
        <w:tc>
          <w:tcPr>
            <w:tcW w:w="9351" w:type="dxa"/>
            <w:gridSpan w:val="2"/>
            <w:shd w:val="clear" w:color="auto" w:fill="auto"/>
            <w:vAlign w:val="center"/>
            <w:hideMark/>
          </w:tcPr>
          <w:p w:rsidR="00106A2A" w:rsidRPr="00106A2A" w:rsidRDefault="00106A2A" w:rsidP="00106A2A">
            <w:pPr>
              <w:widowControl/>
              <w:spacing w:before="120"/>
              <w:rPr>
                <w:b/>
                <w:bCs/>
                <w:i/>
                <w:iCs/>
                <w:lang w:eastAsia="en-US"/>
              </w:rPr>
            </w:pPr>
            <w:r w:rsidRPr="00106A2A">
              <w:rPr>
                <w:rFonts w:eastAsia="Calibri"/>
                <w:b/>
                <w:i/>
                <w:lang w:eastAsia="en-US"/>
              </w:rPr>
              <w:t>Компонент: пряко подпомагане на доходите</w:t>
            </w:r>
          </w:p>
        </w:tc>
      </w:tr>
      <w:tr w:rsidR="00106A2A" w:rsidRPr="00106A2A" w:rsidTr="006919B6">
        <w:trPr>
          <w:trHeight w:val="626"/>
        </w:trPr>
        <w:tc>
          <w:tcPr>
            <w:tcW w:w="2689" w:type="dxa"/>
            <w:vMerge w:val="restart"/>
            <w:shd w:val="clear" w:color="auto" w:fill="auto"/>
            <w:vAlign w:val="center"/>
            <w:hideMark/>
          </w:tcPr>
          <w:p w:rsidR="00106A2A" w:rsidRPr="00106A2A" w:rsidRDefault="00106A2A" w:rsidP="00106A2A">
            <w:pPr>
              <w:widowControl/>
              <w:spacing w:before="120"/>
              <w:jc w:val="center"/>
              <w:rPr>
                <w:b/>
                <w:bCs/>
                <w:i/>
                <w:iCs/>
                <w:lang w:eastAsia="en-US"/>
              </w:rPr>
            </w:pPr>
            <w:r w:rsidRPr="00106A2A">
              <w:rPr>
                <w:rFonts w:eastAsia="Calibri"/>
                <w:b/>
                <w:i/>
                <w:lang w:eastAsia="en-US"/>
              </w:rPr>
              <w:t xml:space="preserve">Намаляване на броя на уязвимите домакинства и уязвимите ползватели на транспорт </w:t>
            </w:r>
          </w:p>
        </w:tc>
        <w:tc>
          <w:tcPr>
            <w:tcW w:w="6662" w:type="dxa"/>
            <w:shd w:val="clear" w:color="auto" w:fill="auto"/>
            <w:vAlign w:val="center"/>
            <w:hideMark/>
          </w:tcPr>
          <w:p w:rsidR="00106A2A" w:rsidRPr="00106A2A" w:rsidRDefault="00106A2A" w:rsidP="00106A2A">
            <w:pPr>
              <w:widowControl/>
              <w:spacing w:before="120"/>
              <w:jc w:val="center"/>
              <w:rPr>
                <w:b/>
                <w:bCs/>
                <w:i/>
                <w:iCs/>
                <w:lang w:eastAsia="en-US"/>
              </w:rPr>
            </w:pPr>
            <w:r w:rsidRPr="00106A2A">
              <w:rPr>
                <w:rFonts w:eastAsia="Calibri"/>
                <w:b/>
                <w:i/>
                <w:lang w:eastAsia="en-US"/>
              </w:rPr>
              <w:t>Описание на очакваното въздействие</w:t>
            </w:r>
          </w:p>
        </w:tc>
      </w:tr>
      <w:tr w:rsidR="00106A2A" w:rsidRPr="00106A2A" w:rsidTr="006919B6">
        <w:trPr>
          <w:trHeight w:val="627"/>
        </w:trPr>
        <w:tc>
          <w:tcPr>
            <w:tcW w:w="2689" w:type="dxa"/>
            <w:vMerge/>
            <w:shd w:val="clear" w:color="auto" w:fill="auto"/>
            <w:vAlign w:val="center"/>
            <w:hideMark/>
          </w:tcPr>
          <w:p w:rsidR="00106A2A" w:rsidRPr="00106A2A" w:rsidRDefault="00106A2A" w:rsidP="00106A2A">
            <w:pPr>
              <w:widowControl/>
              <w:spacing w:before="120"/>
              <w:jc w:val="center"/>
              <w:rPr>
                <w:b/>
                <w:bCs/>
                <w:i/>
                <w:iCs/>
                <w:lang w:eastAsia="en-US"/>
              </w:rPr>
            </w:pPr>
          </w:p>
        </w:tc>
        <w:tc>
          <w:tcPr>
            <w:tcW w:w="6662" w:type="dxa"/>
            <w:shd w:val="clear" w:color="auto" w:fill="auto"/>
            <w:vAlign w:val="center"/>
            <w:hideMark/>
          </w:tcPr>
          <w:p w:rsidR="00106A2A" w:rsidRPr="00106A2A" w:rsidRDefault="00106A2A" w:rsidP="00106A2A">
            <w:pPr>
              <w:widowControl/>
              <w:spacing w:before="120"/>
              <w:jc w:val="center"/>
              <w:rPr>
                <w:b/>
                <w:bCs/>
                <w:i/>
                <w:iCs/>
                <w:lang w:eastAsia="en-US"/>
              </w:rPr>
            </w:pPr>
            <w:r w:rsidRPr="00106A2A">
              <w:rPr>
                <w:rFonts w:eastAsia="Calibri"/>
                <w:b/>
                <w:i/>
                <w:lang w:eastAsia="en-US"/>
              </w:rPr>
              <w:t>Прогноза за очакваното въздействие; единица: домакинства</w:t>
            </w:r>
          </w:p>
        </w:tc>
      </w:tr>
      <w:tr w:rsidR="00106A2A" w:rsidRPr="00106A2A" w:rsidTr="006919B6">
        <w:trPr>
          <w:trHeight w:val="627"/>
        </w:trPr>
        <w:tc>
          <w:tcPr>
            <w:tcW w:w="2689" w:type="dxa"/>
            <w:vMerge w:val="restart"/>
            <w:shd w:val="clear" w:color="auto" w:fill="auto"/>
            <w:vAlign w:val="center"/>
          </w:tcPr>
          <w:p w:rsidR="00106A2A" w:rsidRPr="00106A2A" w:rsidRDefault="00106A2A" w:rsidP="00106A2A">
            <w:pPr>
              <w:widowControl/>
              <w:spacing w:before="120"/>
              <w:jc w:val="center"/>
              <w:rPr>
                <w:b/>
                <w:bCs/>
                <w:i/>
                <w:iCs/>
                <w:lang w:eastAsia="en-US"/>
              </w:rPr>
            </w:pPr>
            <w:r w:rsidRPr="00106A2A">
              <w:rPr>
                <w:rFonts w:eastAsia="Calibri"/>
                <w:b/>
                <w:i/>
                <w:lang w:eastAsia="en-US"/>
              </w:rPr>
              <w:t>Намаляване на броя на домакинствата в енергийна и транспортна бедност</w:t>
            </w:r>
          </w:p>
        </w:tc>
        <w:tc>
          <w:tcPr>
            <w:tcW w:w="6662" w:type="dxa"/>
            <w:shd w:val="clear" w:color="auto" w:fill="auto"/>
            <w:vAlign w:val="center"/>
          </w:tcPr>
          <w:p w:rsidR="00106A2A" w:rsidRPr="00106A2A" w:rsidRDefault="00106A2A" w:rsidP="00106A2A">
            <w:pPr>
              <w:widowControl/>
              <w:spacing w:before="120"/>
              <w:jc w:val="center"/>
              <w:rPr>
                <w:b/>
                <w:bCs/>
                <w:i/>
                <w:iCs/>
                <w:lang w:eastAsia="en-US"/>
              </w:rPr>
            </w:pPr>
            <w:r w:rsidRPr="00106A2A">
              <w:rPr>
                <w:rFonts w:eastAsia="Calibri"/>
                <w:b/>
                <w:i/>
                <w:lang w:eastAsia="en-US"/>
              </w:rPr>
              <w:t>Описание на очакваното въздействие</w:t>
            </w:r>
          </w:p>
        </w:tc>
      </w:tr>
      <w:tr w:rsidR="00106A2A" w:rsidRPr="00106A2A" w:rsidTr="006919B6">
        <w:trPr>
          <w:trHeight w:val="627"/>
        </w:trPr>
        <w:tc>
          <w:tcPr>
            <w:tcW w:w="2689" w:type="dxa"/>
            <w:vMerge/>
            <w:shd w:val="clear" w:color="auto" w:fill="auto"/>
            <w:vAlign w:val="center"/>
          </w:tcPr>
          <w:p w:rsidR="00106A2A" w:rsidRPr="00106A2A" w:rsidRDefault="00106A2A" w:rsidP="00106A2A">
            <w:pPr>
              <w:widowControl/>
              <w:spacing w:before="120"/>
              <w:jc w:val="center"/>
              <w:rPr>
                <w:b/>
                <w:bCs/>
                <w:i/>
                <w:iCs/>
                <w:lang w:eastAsia="en-US"/>
              </w:rPr>
            </w:pPr>
          </w:p>
        </w:tc>
        <w:tc>
          <w:tcPr>
            <w:tcW w:w="6662" w:type="dxa"/>
            <w:shd w:val="clear" w:color="auto" w:fill="auto"/>
            <w:vAlign w:val="center"/>
          </w:tcPr>
          <w:p w:rsidR="00106A2A" w:rsidRPr="00106A2A" w:rsidRDefault="00106A2A" w:rsidP="00106A2A">
            <w:pPr>
              <w:widowControl/>
              <w:spacing w:before="120"/>
              <w:jc w:val="center"/>
              <w:rPr>
                <w:b/>
                <w:bCs/>
                <w:i/>
                <w:iCs/>
                <w:lang w:eastAsia="en-US"/>
              </w:rPr>
            </w:pPr>
            <w:r w:rsidRPr="00106A2A">
              <w:rPr>
                <w:rFonts w:eastAsia="Calibri"/>
                <w:b/>
                <w:i/>
                <w:lang w:eastAsia="en-US"/>
              </w:rPr>
              <w:t>Прогноза за очакваното въздействие; единица: домакинства</w:t>
            </w:r>
          </w:p>
        </w:tc>
      </w:tr>
    </w:tbl>
    <w:p w:rsidR="00106A2A" w:rsidRPr="00106A2A" w:rsidRDefault="00106A2A" w:rsidP="00106A2A">
      <w:pPr>
        <w:widowControl/>
        <w:spacing w:before="120" w:after="120"/>
        <w:jc w:val="both"/>
        <w:rPr>
          <w:rFonts w:eastAsia="Calibri"/>
          <w:b/>
          <w:bCs/>
          <w:i/>
          <w:iCs/>
          <w:lang w:eastAsia="en-IE"/>
        </w:rPr>
      </w:pPr>
    </w:p>
    <w:p w:rsidR="00106A2A" w:rsidRPr="00106A2A" w:rsidRDefault="00106A2A" w:rsidP="00106A2A">
      <w:pPr>
        <w:widowControl/>
        <w:spacing w:before="120" w:after="160" w:line="259" w:lineRule="auto"/>
        <w:rPr>
          <w:rFonts w:eastAsia="Calibri"/>
          <w:b/>
          <w:bCs/>
          <w:i/>
          <w:iCs/>
          <w:lang w:eastAsia="en-US"/>
        </w:rPr>
      </w:pPr>
      <w:r w:rsidRPr="00106A2A">
        <w:rPr>
          <w:rFonts w:eastAsia="Calibri"/>
          <w:lang w:eastAsia="en-US"/>
        </w:rPr>
        <w:br w:type="page"/>
      </w:r>
    </w:p>
    <w:p w:rsidR="00106A2A" w:rsidRPr="00106A2A" w:rsidRDefault="00106A2A" w:rsidP="00106A2A">
      <w:pPr>
        <w:keepNext/>
        <w:keepLines/>
        <w:widowControl/>
        <w:spacing w:before="360" w:after="120" w:line="259" w:lineRule="auto"/>
        <w:ind w:left="357" w:hanging="357"/>
        <w:jc w:val="both"/>
        <w:outlineLvl w:val="0"/>
        <w:rPr>
          <w:b/>
          <w:bCs/>
          <w:i/>
          <w:iCs/>
          <w:lang w:eastAsia="en-US"/>
        </w:rPr>
      </w:pPr>
      <w:bookmarkStart w:id="32" w:name="_Toc128649702"/>
      <w:r w:rsidRPr="00106A2A">
        <w:rPr>
          <w:b/>
          <w:bCs/>
          <w:i/>
          <w:iCs/>
          <w:lang w:eastAsia="en-US"/>
        </w:rPr>
        <w:t>4.</w:t>
      </w:r>
      <w:r w:rsidRPr="00106A2A">
        <w:rPr>
          <w:b/>
          <w:bCs/>
          <w:i/>
          <w:iCs/>
          <w:lang w:eastAsia="en-US"/>
        </w:rPr>
        <w:tab/>
      </w:r>
      <w:r w:rsidRPr="00106A2A">
        <w:rPr>
          <w:rFonts w:eastAsia="Calibri"/>
          <w:b/>
          <w:i/>
          <w:lang w:eastAsia="en-US"/>
        </w:rPr>
        <w:t>ВЗАИМНО ДОПЪЛВАНЕ, ДОПЪЛНЯЕМОСТ И ИЗПЪЛНЕНИЕ НА ПЛАНА</w:t>
      </w:r>
      <w:bookmarkEnd w:id="32"/>
    </w:p>
    <w:p w:rsidR="00106A2A" w:rsidRPr="00106A2A" w:rsidRDefault="00106A2A" w:rsidP="00106A2A">
      <w:pPr>
        <w:widowControl/>
        <w:spacing w:before="120" w:after="120" w:line="360" w:lineRule="auto"/>
        <w:rPr>
          <w:rFonts w:eastAsia="Calibri"/>
          <w:b/>
          <w:bCs/>
          <w:i/>
          <w:iCs/>
          <w:lang w:eastAsia="en-US"/>
        </w:rPr>
      </w:pPr>
      <w:r w:rsidRPr="00106A2A">
        <w:rPr>
          <w:rFonts w:eastAsia="Calibri"/>
          <w:b/>
          <w:i/>
          <w:lang w:eastAsia="en-US"/>
        </w:rPr>
        <w:t>Тази част се отнася до целия план. Различните критерии, посочени по-долу, трябва да бъдат обосновани за плана като цяло.</w:t>
      </w:r>
    </w:p>
    <w:p w:rsidR="00106A2A" w:rsidRPr="00106A2A" w:rsidRDefault="00106A2A" w:rsidP="00106A2A">
      <w:pPr>
        <w:keepNext/>
        <w:keepLines/>
        <w:widowControl/>
        <w:spacing w:before="360" w:after="120" w:line="360" w:lineRule="auto"/>
        <w:ind w:left="578"/>
        <w:jc w:val="both"/>
        <w:outlineLvl w:val="1"/>
        <w:rPr>
          <w:b/>
          <w:bCs/>
          <w:i/>
          <w:iCs/>
          <w:u w:val="single"/>
          <w:lang w:eastAsia="en-US"/>
        </w:rPr>
      </w:pPr>
      <w:bookmarkStart w:id="33" w:name="_Toc128649703"/>
      <w:r w:rsidRPr="00106A2A">
        <w:rPr>
          <w:rFonts w:eastAsia="Calibri"/>
          <w:b/>
          <w:i/>
          <w:lang w:eastAsia="en-US"/>
        </w:rPr>
        <w:t xml:space="preserve">4.1. </w:t>
      </w:r>
      <w:r w:rsidRPr="00106A2A">
        <w:rPr>
          <w:rFonts w:eastAsia="Calibri"/>
          <w:b/>
          <w:i/>
          <w:u w:val="single"/>
          <w:lang w:eastAsia="en-US"/>
        </w:rPr>
        <w:t>Мониторинг и изпълнение на плана</w:t>
      </w:r>
      <w:bookmarkEnd w:id="33"/>
    </w:p>
    <w:p w:rsidR="00106A2A" w:rsidRPr="00106A2A" w:rsidRDefault="00106A2A" w:rsidP="00106A2A">
      <w:pPr>
        <w:widowControl/>
        <w:spacing w:before="120" w:after="120" w:line="360" w:lineRule="auto"/>
        <w:rPr>
          <w:rFonts w:eastAsia="Calibri"/>
          <w:b/>
          <w:bCs/>
          <w:i/>
          <w:iCs/>
          <w:lang w:eastAsia="en-US"/>
        </w:rPr>
      </w:pPr>
      <w:r w:rsidRPr="00106A2A">
        <w:rPr>
          <w:rFonts w:eastAsia="Calibri"/>
          <w:b/>
          <w:i/>
          <w:lang w:eastAsia="en-US"/>
        </w:rPr>
        <w:t>Обяснение на начина, по който държавата членка възнамерява да изпълни предложените мерки и инвестиции, с акцент върху мерките и графика за мониторинг и изпълнение, включително, когато е уместно, мерките, необходими за спазване на член 21.</w:t>
      </w:r>
    </w:p>
    <w:p w:rsidR="00106A2A" w:rsidRPr="00106A2A" w:rsidRDefault="00106A2A" w:rsidP="00106A2A">
      <w:pPr>
        <w:keepNext/>
        <w:keepLines/>
        <w:widowControl/>
        <w:spacing w:before="360" w:after="120" w:line="360" w:lineRule="auto"/>
        <w:ind w:left="578"/>
        <w:jc w:val="both"/>
        <w:outlineLvl w:val="1"/>
        <w:rPr>
          <w:b/>
          <w:bCs/>
          <w:i/>
          <w:iCs/>
          <w:u w:val="single"/>
          <w:lang w:eastAsia="en-US"/>
        </w:rPr>
      </w:pPr>
      <w:bookmarkStart w:id="34" w:name="_Toc128649704"/>
      <w:r w:rsidRPr="00106A2A">
        <w:rPr>
          <w:rFonts w:eastAsia="Calibri"/>
          <w:b/>
          <w:i/>
          <w:lang w:eastAsia="en-US"/>
        </w:rPr>
        <w:t xml:space="preserve">4.2. </w:t>
      </w:r>
      <w:r w:rsidRPr="00106A2A">
        <w:rPr>
          <w:rFonts w:eastAsia="Calibri"/>
          <w:b/>
          <w:i/>
          <w:u w:val="single"/>
          <w:lang w:eastAsia="en-US"/>
        </w:rPr>
        <w:t>Съгласуваност с други инициативи</w:t>
      </w:r>
      <w:bookmarkEnd w:id="34"/>
    </w:p>
    <w:p w:rsidR="00106A2A" w:rsidRPr="00106A2A" w:rsidRDefault="00106A2A" w:rsidP="00106A2A">
      <w:pPr>
        <w:widowControl/>
        <w:spacing w:before="120" w:after="120" w:line="360" w:lineRule="auto"/>
        <w:rPr>
          <w:rFonts w:eastAsia="Calibri"/>
          <w:b/>
          <w:bCs/>
          <w:i/>
          <w:iCs/>
          <w:lang w:eastAsia="en-US"/>
        </w:rPr>
      </w:pPr>
      <w:r w:rsidRPr="00106A2A">
        <w:rPr>
          <w:rFonts w:eastAsia="Calibri"/>
          <w:b/>
          <w:i/>
          <w:lang w:eastAsia="en-US"/>
        </w:rPr>
        <w:t>Обяснение на начина, по който планът съответства на включената информация и поетите от държавата членка ангажименти в рамките на други приложими планове и фондове, както и на взаимодействието между различните планове в бъдеще, както е посочено в член 6, параграф 3 и член 16, параграф 3, буква б), точка iii).</w:t>
      </w:r>
    </w:p>
    <w:p w:rsidR="00106A2A" w:rsidRPr="00106A2A" w:rsidRDefault="00106A2A" w:rsidP="00106A2A">
      <w:pPr>
        <w:widowControl/>
        <w:spacing w:before="120" w:after="120" w:line="360" w:lineRule="auto"/>
        <w:rPr>
          <w:rFonts w:eastAsia="Calibri"/>
          <w:b/>
          <w:bCs/>
          <w:i/>
          <w:iCs/>
          <w:lang w:eastAsia="en-US"/>
        </w:rPr>
      </w:pPr>
      <w:r w:rsidRPr="00106A2A">
        <w:rPr>
          <w:rFonts w:eastAsia="Calibri"/>
          <w:lang w:eastAsia="en-US"/>
        </w:rPr>
        <w:br w:type="page"/>
      </w:r>
    </w:p>
    <w:p w:rsidR="00106A2A" w:rsidRPr="00106A2A" w:rsidRDefault="00106A2A" w:rsidP="00106A2A">
      <w:pPr>
        <w:keepNext/>
        <w:keepLines/>
        <w:widowControl/>
        <w:spacing w:before="360" w:after="120" w:line="360" w:lineRule="auto"/>
        <w:ind w:left="578"/>
        <w:jc w:val="both"/>
        <w:outlineLvl w:val="1"/>
        <w:rPr>
          <w:b/>
          <w:bCs/>
          <w:i/>
          <w:iCs/>
          <w:u w:val="single"/>
          <w:lang w:eastAsia="en-US"/>
        </w:rPr>
      </w:pPr>
      <w:bookmarkStart w:id="35" w:name="_Toc128649705"/>
      <w:r w:rsidRPr="00106A2A">
        <w:rPr>
          <w:rFonts w:eastAsia="Calibri"/>
          <w:b/>
          <w:i/>
          <w:lang w:eastAsia="en-US"/>
        </w:rPr>
        <w:t xml:space="preserve">4.3. </w:t>
      </w:r>
      <w:r w:rsidRPr="00106A2A">
        <w:rPr>
          <w:rFonts w:eastAsia="Calibri"/>
          <w:b/>
          <w:i/>
          <w:u w:val="single"/>
          <w:lang w:eastAsia="en-US"/>
        </w:rPr>
        <w:t>Взаимно допълване на финансирането</w:t>
      </w:r>
      <w:bookmarkEnd w:id="35"/>
    </w:p>
    <w:p w:rsidR="00106A2A" w:rsidRPr="00106A2A" w:rsidRDefault="00106A2A" w:rsidP="00106A2A">
      <w:pPr>
        <w:widowControl/>
        <w:spacing w:before="120" w:after="120" w:line="360" w:lineRule="auto"/>
        <w:rPr>
          <w:rFonts w:eastAsia="Calibri"/>
          <w:b/>
          <w:bCs/>
          <w:i/>
          <w:iCs/>
          <w:lang w:eastAsia="en-US"/>
        </w:rPr>
      </w:pPr>
      <w:r w:rsidRPr="00106A2A">
        <w:rPr>
          <w:rFonts w:eastAsia="Calibri"/>
          <w:b/>
          <w:i/>
          <w:lang w:eastAsia="en-US"/>
        </w:rPr>
        <w:t>Информация относно съществуващо или планирано финансиране на мерки и инвестиции от други източници на Съюза, международни източници, публични, или ако е приложимо, частни източници, които да допринасят към мерките и инвестициите, определени в плана, включително информация за временното пряко подпомагане на доходите съгласно член 6, параграф 1, буква в).</w:t>
      </w:r>
    </w:p>
    <w:p w:rsidR="00106A2A" w:rsidRPr="00106A2A" w:rsidRDefault="00106A2A" w:rsidP="00106A2A">
      <w:pPr>
        <w:keepNext/>
        <w:keepLines/>
        <w:widowControl/>
        <w:spacing w:before="360" w:after="120" w:line="360" w:lineRule="auto"/>
        <w:ind w:left="578"/>
        <w:jc w:val="both"/>
        <w:outlineLvl w:val="1"/>
        <w:rPr>
          <w:b/>
          <w:bCs/>
          <w:i/>
          <w:iCs/>
          <w:u w:val="single"/>
          <w:lang w:eastAsia="en-US"/>
        </w:rPr>
      </w:pPr>
      <w:bookmarkStart w:id="36" w:name="_Toc128649706"/>
      <w:r w:rsidRPr="00106A2A">
        <w:rPr>
          <w:rFonts w:eastAsia="Calibri"/>
          <w:b/>
          <w:i/>
          <w:lang w:eastAsia="en-US"/>
        </w:rPr>
        <w:t xml:space="preserve">4.4. </w:t>
      </w:r>
      <w:r w:rsidRPr="00106A2A">
        <w:rPr>
          <w:rFonts w:eastAsia="Calibri"/>
          <w:b/>
          <w:i/>
          <w:u w:val="single"/>
          <w:lang w:eastAsia="en-US"/>
        </w:rPr>
        <w:t>Допълняемост</w:t>
      </w:r>
      <w:bookmarkEnd w:id="36"/>
    </w:p>
    <w:p w:rsidR="00106A2A" w:rsidRPr="00106A2A" w:rsidRDefault="00106A2A" w:rsidP="00106A2A">
      <w:pPr>
        <w:widowControl/>
        <w:spacing w:before="120" w:after="120" w:line="360" w:lineRule="auto"/>
        <w:rPr>
          <w:rFonts w:eastAsia="Calibri"/>
          <w:b/>
          <w:bCs/>
          <w:i/>
          <w:iCs/>
          <w:lang w:eastAsia="en-US"/>
        </w:rPr>
      </w:pPr>
      <w:r w:rsidRPr="00106A2A">
        <w:rPr>
          <w:rFonts w:eastAsia="Calibri"/>
          <w:b/>
          <w:i/>
          <w:lang w:eastAsia="en-US"/>
        </w:rPr>
        <w:t>Обяснение и обосновка на това как новите или съществуващите мерки или инвестиции допълват и не заместват периодичните национални бюджетни разходи съгласно член 13, параграф 2, включително същото обяснение и обосновка по отношение на мерките и инвестициите, включени в плана в съответствие с член 4, параграф 5.</w:t>
      </w:r>
    </w:p>
    <w:p w:rsidR="00106A2A" w:rsidRPr="00106A2A" w:rsidRDefault="00106A2A" w:rsidP="00106A2A">
      <w:pPr>
        <w:keepNext/>
        <w:keepLines/>
        <w:widowControl/>
        <w:spacing w:before="360" w:after="120" w:line="360" w:lineRule="auto"/>
        <w:ind w:left="578"/>
        <w:jc w:val="both"/>
        <w:outlineLvl w:val="1"/>
        <w:rPr>
          <w:b/>
          <w:bCs/>
          <w:i/>
          <w:iCs/>
          <w:u w:val="single"/>
          <w:lang w:eastAsia="en-US"/>
        </w:rPr>
      </w:pPr>
      <w:bookmarkStart w:id="37" w:name="_Toc128649707"/>
      <w:r w:rsidRPr="00106A2A">
        <w:rPr>
          <w:rFonts w:eastAsia="Calibri"/>
          <w:b/>
          <w:i/>
          <w:lang w:eastAsia="en-US"/>
        </w:rPr>
        <w:t xml:space="preserve">4.5. </w:t>
      </w:r>
      <w:r w:rsidRPr="00106A2A">
        <w:rPr>
          <w:rFonts w:eastAsia="Calibri"/>
          <w:b/>
          <w:i/>
          <w:u w:val="single"/>
          <w:lang w:eastAsia="en-US"/>
        </w:rPr>
        <w:t>Географски особености</w:t>
      </w:r>
      <w:bookmarkEnd w:id="37"/>
    </w:p>
    <w:p w:rsidR="00106A2A" w:rsidRPr="00106A2A" w:rsidRDefault="00106A2A" w:rsidP="00106A2A">
      <w:pPr>
        <w:widowControl/>
        <w:spacing w:before="120" w:after="120" w:line="360" w:lineRule="auto"/>
        <w:rPr>
          <w:rFonts w:eastAsia="Calibri"/>
          <w:b/>
          <w:bCs/>
          <w:i/>
          <w:iCs/>
          <w:lang w:eastAsia="en-US"/>
        </w:rPr>
      </w:pPr>
      <w:r w:rsidRPr="00106A2A">
        <w:rPr>
          <w:rFonts w:eastAsia="Calibri"/>
          <w:b/>
          <w:i/>
          <w:lang w:eastAsia="en-US"/>
        </w:rPr>
        <w:t>Обяснение по какъв начин географските особености, като например при острови, най-отдалечени региони и територии, селски или отдалечени райони, по-малко достъпни периферни райони, планински райони или изоставащи райони са взети предвид в плана.</w:t>
      </w:r>
    </w:p>
    <w:p w:rsidR="00106A2A" w:rsidRPr="00106A2A" w:rsidRDefault="00106A2A" w:rsidP="00106A2A">
      <w:pPr>
        <w:widowControl/>
        <w:spacing w:before="120" w:after="120" w:line="360" w:lineRule="auto"/>
        <w:rPr>
          <w:rFonts w:eastAsia="Calibri"/>
          <w:b/>
          <w:bCs/>
          <w:i/>
          <w:iCs/>
          <w:lang w:eastAsia="en-US"/>
        </w:rPr>
      </w:pPr>
      <w:r w:rsidRPr="00106A2A">
        <w:rPr>
          <w:rFonts w:eastAsia="Calibri"/>
          <w:lang w:eastAsia="en-US"/>
        </w:rPr>
        <w:br w:type="page"/>
      </w:r>
    </w:p>
    <w:p w:rsidR="00106A2A" w:rsidRPr="00106A2A" w:rsidRDefault="00106A2A" w:rsidP="00106A2A">
      <w:pPr>
        <w:keepNext/>
        <w:keepLines/>
        <w:widowControl/>
        <w:spacing w:before="360" w:after="120" w:line="360" w:lineRule="auto"/>
        <w:ind w:left="578"/>
        <w:jc w:val="both"/>
        <w:outlineLvl w:val="1"/>
        <w:rPr>
          <w:b/>
          <w:bCs/>
          <w:i/>
          <w:iCs/>
          <w:u w:val="single"/>
          <w:lang w:eastAsia="en-US"/>
        </w:rPr>
      </w:pPr>
      <w:bookmarkStart w:id="38" w:name="_Toc128649708"/>
      <w:r w:rsidRPr="00106A2A">
        <w:rPr>
          <w:rFonts w:eastAsia="Calibri"/>
          <w:b/>
          <w:i/>
          <w:lang w:eastAsia="en-US"/>
        </w:rPr>
        <w:t xml:space="preserve">4.6. </w:t>
      </w:r>
      <w:r w:rsidRPr="00106A2A">
        <w:rPr>
          <w:rFonts w:eastAsia="Calibri"/>
          <w:b/>
          <w:i/>
          <w:u w:val="single"/>
          <w:lang w:eastAsia="en-US"/>
        </w:rPr>
        <w:t>Предотвратяване на корупцията, измамите и конфликтите на интереси</w:t>
      </w:r>
      <w:bookmarkEnd w:id="38"/>
    </w:p>
    <w:p w:rsidR="00106A2A" w:rsidRPr="00106A2A" w:rsidRDefault="00106A2A" w:rsidP="00106A2A">
      <w:pPr>
        <w:widowControl/>
        <w:spacing w:before="120" w:after="120" w:line="360" w:lineRule="auto"/>
        <w:rPr>
          <w:rFonts w:eastAsia="Calibri"/>
          <w:b/>
          <w:bCs/>
          <w:i/>
          <w:iCs/>
          <w:lang w:eastAsia="en-US"/>
        </w:rPr>
      </w:pPr>
      <w:r w:rsidRPr="00106A2A">
        <w:rPr>
          <w:rFonts w:eastAsia="Calibri"/>
          <w:b/>
          <w:i/>
          <w:lang w:eastAsia="en-US"/>
        </w:rPr>
        <w:t>Система за предотвратяване, разкриване и справяне с корупцията, измамите и конфликтите на интереси при използването на средствата, предоставени по линия на Фонда, и механизмите, с които се цели да се избегне двойно финансиране от Фонда и от други програми на Съюза в съответствие с член 21 и приложение III, включително средства, предоставяни чрез публични или частни субекти, различни от уязвими домакинства, уязвими микропредприятия и уязвими ползватели на транспорт в съответствие с член 9.</w:t>
      </w:r>
    </w:p>
    <w:p w:rsidR="00106A2A" w:rsidRPr="00106A2A" w:rsidRDefault="00106A2A" w:rsidP="00106A2A">
      <w:pPr>
        <w:keepNext/>
        <w:keepLines/>
        <w:widowControl/>
        <w:spacing w:before="360" w:after="120" w:line="259" w:lineRule="auto"/>
        <w:ind w:left="578"/>
        <w:jc w:val="both"/>
        <w:outlineLvl w:val="1"/>
        <w:rPr>
          <w:b/>
          <w:bCs/>
          <w:i/>
          <w:iCs/>
          <w:u w:val="single"/>
          <w:lang w:eastAsia="en-US"/>
        </w:rPr>
      </w:pPr>
      <w:bookmarkStart w:id="39" w:name="_Toc128649709"/>
      <w:r w:rsidRPr="00106A2A">
        <w:rPr>
          <w:rFonts w:eastAsia="Calibri"/>
          <w:b/>
          <w:i/>
          <w:lang w:eastAsia="en-US"/>
        </w:rPr>
        <w:t xml:space="preserve">4.7. </w:t>
      </w:r>
      <w:r w:rsidRPr="00106A2A">
        <w:rPr>
          <w:rFonts w:eastAsia="Calibri"/>
          <w:b/>
          <w:i/>
          <w:u w:val="single"/>
          <w:lang w:eastAsia="en-US"/>
        </w:rPr>
        <w:t>Информация, комуникация</w:t>
      </w:r>
      <w:bookmarkEnd w:id="39"/>
      <w:r w:rsidRPr="00106A2A">
        <w:rPr>
          <w:rFonts w:eastAsia="Calibri"/>
          <w:b/>
          <w:i/>
          <w:u w:val="single"/>
          <w:lang w:eastAsia="en-US"/>
        </w:rPr>
        <w:t xml:space="preserve"> и видимост</w:t>
      </w:r>
    </w:p>
    <w:p w:rsidR="00106A2A" w:rsidRPr="00106A2A" w:rsidRDefault="00106A2A" w:rsidP="00106A2A">
      <w:pPr>
        <w:widowControl/>
        <w:spacing w:before="120" w:after="120" w:line="360" w:lineRule="auto"/>
        <w:rPr>
          <w:rFonts w:eastAsia="Calibri"/>
          <w:b/>
          <w:bCs/>
          <w:i/>
          <w:iCs/>
          <w:lang w:eastAsia="en-US"/>
        </w:rPr>
      </w:pPr>
      <w:r w:rsidRPr="00106A2A">
        <w:rPr>
          <w:rFonts w:eastAsia="Calibri"/>
          <w:b/>
          <w:i/>
          <w:lang w:eastAsia="en-US"/>
        </w:rPr>
        <w:t>Спазване на разпоредбите на член 23 относно публичния достъп до данни, като се посочва уебсайтът, на който ще бъдат публикувани данните, както и мерките във връзка с информацията, комуникацията и видимостта;</w:t>
      </w:r>
    </w:p>
    <w:p w:rsidR="00106A2A" w:rsidRPr="00106A2A" w:rsidRDefault="00106A2A" w:rsidP="00106A2A">
      <w:pPr>
        <w:widowControl/>
        <w:spacing w:before="120" w:after="120" w:line="360" w:lineRule="auto"/>
        <w:rPr>
          <w:rFonts w:eastAsia="Calibri"/>
          <w:b/>
          <w:bCs/>
          <w:i/>
          <w:iCs/>
          <w:lang w:eastAsia="en-US"/>
        </w:rPr>
      </w:pPr>
      <w:r w:rsidRPr="00106A2A">
        <w:rPr>
          <w:rFonts w:eastAsia="Calibri"/>
          <w:b/>
          <w:i/>
          <w:lang w:eastAsia="en-US"/>
        </w:rPr>
        <w:t>Очертаване на планираната национална комуникационна стратегия, насочена към осигуряване на обществена осведоменост относно финансирането от Съюза.</w:t>
      </w:r>
    </w:p>
    <w:p w:rsidR="00106A2A" w:rsidRPr="00106A2A" w:rsidRDefault="00106A2A" w:rsidP="00106A2A">
      <w:pPr>
        <w:widowControl/>
        <w:pBdr>
          <w:bottom w:val="single" w:sz="4" w:space="0" w:color="000000"/>
        </w:pBdr>
        <w:spacing w:before="360" w:after="120" w:line="360" w:lineRule="auto"/>
        <w:ind w:left="3400" w:right="3400"/>
        <w:jc w:val="center"/>
        <w:rPr>
          <w:rFonts w:eastAsia="Calibri"/>
          <w:b/>
          <w:lang w:eastAsia="en-US"/>
        </w:rPr>
      </w:pPr>
    </w:p>
    <w:p w:rsidR="000F2FE2" w:rsidRPr="00106A2A" w:rsidRDefault="000F2FE2" w:rsidP="00106A2A">
      <w:pPr>
        <w:widowControl/>
        <w:rPr>
          <w:rFonts w:eastAsia="Calibri"/>
          <w:b/>
          <w:bCs/>
        </w:rPr>
      </w:pPr>
      <w:bookmarkStart w:id="40" w:name="_GoBack"/>
      <w:bookmarkEnd w:id="40"/>
    </w:p>
    <w:sectPr w:rsidR="000F2FE2" w:rsidRPr="00106A2A" w:rsidSect="009844B0">
      <w:footerReference w:type="first" r:id="rId29"/>
      <w:footnotePr>
        <w:numRestart w:val="eachPage"/>
      </w:footnotePr>
      <w:pgSz w:w="11906" w:h="16838" w:code="9"/>
      <w:pgMar w:top="1134" w:right="1418" w:bottom="1418" w:left="1418" w:header="1134" w:footer="567"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331" w:rsidRPr="00106A2A" w:rsidRDefault="00204331">
      <w:r w:rsidRPr="00106A2A">
        <w:separator/>
      </w:r>
    </w:p>
    <w:p w:rsidR="00204331" w:rsidRPr="00106A2A" w:rsidRDefault="00204331"/>
  </w:endnote>
  <w:endnote w:type="continuationSeparator" w:id="0">
    <w:p w:rsidR="00204331" w:rsidRPr="00106A2A" w:rsidRDefault="00204331">
      <w:r w:rsidRPr="00106A2A">
        <w:continuationSeparator/>
      </w:r>
    </w:p>
    <w:p w:rsidR="00204331" w:rsidRPr="00106A2A" w:rsidRDefault="00204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00"/>
    <w:family w:val="swiss"/>
    <w:pitch w:val="variable"/>
    <w:sig w:usb0="0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A2A" w:rsidRPr="00106A2A" w:rsidRDefault="00106A2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A2A" w:rsidRPr="0046187A" w:rsidRDefault="00106A2A" w:rsidP="00056D1A">
    <w:pPr>
      <w:pStyle w:val="Footer1"/>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4B0" w:rsidRPr="00106A2A" w:rsidRDefault="009844B0" w:rsidP="002E0D12">
    <w:pPr>
      <w:pStyle w:val="EPFooter"/>
    </w:pPr>
    <w:r w:rsidRPr="00106A2A">
      <w:tab/>
    </w:r>
    <w:r w:rsidRPr="00106A2A">
      <w:tab/>
    </w:r>
    <w:r w:rsidR="008B34F2" w:rsidRPr="00106A2A">
      <w:t>PE</w:t>
    </w:r>
    <w:r w:rsidR="00106A2A" w:rsidRPr="00106A2A">
      <w:t>695.825v01-00</w:t>
    </w:r>
  </w:p>
  <w:p w:rsidR="009844B0" w:rsidRPr="00106A2A" w:rsidRDefault="00494D50" w:rsidP="00342886">
    <w:pPr>
      <w:pStyle w:val="EPFooter2"/>
      <w:tabs>
        <w:tab w:val="clear" w:pos="4535"/>
        <w:tab w:val="center" w:pos="4536"/>
      </w:tabs>
      <w:ind w:left="-840"/>
    </w:pPr>
    <w:r w:rsidRPr="00106A2A">
      <w:fldChar w:fldCharType="begin"/>
    </w:r>
    <w:r w:rsidRPr="00106A2A">
      <w:instrText xml:space="preserve"> DOCPROPERTY "&lt;Extension&gt;" </w:instrText>
    </w:r>
    <w:r w:rsidRPr="00106A2A">
      <w:fldChar w:fldCharType="separate"/>
    </w:r>
    <w:r w:rsidR="00106A2A" w:rsidRPr="00106A2A">
      <w:t>BG</w:t>
    </w:r>
    <w:r w:rsidRPr="00106A2A">
      <w:fldChar w:fldCharType="end"/>
    </w:r>
    <w:r w:rsidR="009844B0" w:rsidRPr="00106A2A">
      <w:tab/>
    </w:r>
    <w:r w:rsidR="00106A2A" w:rsidRPr="00106A2A">
      <w:rPr>
        <w:b w:val="0"/>
        <w:i/>
        <w:color w:val="C0C0C0"/>
        <w:sz w:val="22"/>
        <w:szCs w:val="22"/>
      </w:rPr>
      <w:t>Единство в многообразието</w:t>
    </w:r>
    <w:r w:rsidR="009844B0" w:rsidRPr="00106A2A">
      <w:tab/>
    </w:r>
    <w:r w:rsidRPr="00106A2A">
      <w:fldChar w:fldCharType="begin"/>
    </w:r>
    <w:r w:rsidRPr="00106A2A">
      <w:instrText xml:space="preserve"> DOCPROPERTY "&lt;Extension&gt;" </w:instrText>
    </w:r>
    <w:r w:rsidRPr="00106A2A">
      <w:fldChar w:fldCharType="separate"/>
    </w:r>
    <w:r w:rsidR="00106A2A" w:rsidRPr="00106A2A">
      <w:t>BG</w:t>
    </w:r>
    <w:r w:rsidRPr="00106A2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B14" w:rsidRPr="00106A2A" w:rsidRDefault="00106A2A" w:rsidP="00106A2A">
    <w:pPr>
      <w:pStyle w:val="Footer"/>
      <w:jc w:val="center"/>
    </w:pPr>
    <w:r>
      <w:fldChar w:fldCharType="begin"/>
    </w:r>
    <w:r>
      <w:instrText xml:space="preserve"> PAGE  \* ArabicDash  \* MERGEFORMAT </w:instrText>
    </w:r>
    <w:r>
      <w:fldChar w:fldCharType="separate"/>
    </w:r>
    <w:r>
      <w:rPr>
        <w:noProof/>
      </w:rPr>
      <w:t>- 20 -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06C" w:rsidRPr="00106A2A" w:rsidRDefault="00A3406C" w:rsidP="002E0D12">
    <w:pPr>
      <w:pStyle w:val="EPFooter"/>
    </w:pPr>
    <w:r w:rsidRPr="00106A2A">
      <w:tab/>
    </w:r>
    <w:r w:rsidRPr="00106A2A">
      <w:tab/>
    </w:r>
    <w:r w:rsidR="008B34F2" w:rsidRPr="00106A2A">
      <w:t>PE</w:t>
    </w:r>
    <w:r w:rsidR="00106A2A" w:rsidRPr="00106A2A">
      <w:t>695.825v01-00</w:t>
    </w:r>
  </w:p>
  <w:p w:rsidR="00AA1411" w:rsidRPr="00106A2A" w:rsidRDefault="00106A2A" w:rsidP="00342886">
    <w:pPr>
      <w:pStyle w:val="EPFooter2"/>
      <w:tabs>
        <w:tab w:val="clear" w:pos="4535"/>
        <w:tab w:val="center" w:pos="4536"/>
      </w:tabs>
      <w:ind w:left="-840"/>
    </w:pPr>
    <w:r w:rsidRPr="00106A2A">
      <w:fldChar w:fldCharType="begin"/>
    </w:r>
    <w:r w:rsidRPr="00106A2A">
      <w:instrText xml:space="preserve"> DOCPROPERTY "&lt;Extension&gt;" </w:instrText>
    </w:r>
    <w:r w:rsidRPr="00106A2A">
      <w:fldChar w:fldCharType="separate"/>
    </w:r>
    <w:r>
      <w:t>BG</w:t>
    </w:r>
    <w:r w:rsidRPr="00106A2A">
      <w:fldChar w:fldCharType="end"/>
    </w:r>
    <w:r w:rsidR="00AA1411" w:rsidRPr="00106A2A">
      <w:tab/>
    </w:r>
    <w:r w:rsidRPr="00106A2A">
      <w:rPr>
        <w:b w:val="0"/>
        <w:i/>
        <w:color w:val="C0C0C0"/>
        <w:sz w:val="22"/>
        <w:szCs w:val="22"/>
      </w:rPr>
      <w:t>Единство в многообразието</w:t>
    </w:r>
    <w:r w:rsidR="00AA1411" w:rsidRPr="00106A2A">
      <w:tab/>
    </w:r>
    <w:r w:rsidRPr="00106A2A">
      <w:fldChar w:fldCharType="begin"/>
    </w:r>
    <w:r w:rsidRPr="00106A2A">
      <w:instrText xml:space="preserve"> DOCPROPERTY "&lt;Extension&gt;" </w:instrText>
    </w:r>
    <w:r w:rsidRPr="00106A2A">
      <w:fldChar w:fldCharType="separate"/>
    </w:r>
    <w:r>
      <w:t>BG</w:t>
    </w:r>
    <w:r w:rsidRPr="00106A2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A2A" w:rsidRPr="0046187A" w:rsidRDefault="00106A2A" w:rsidP="00056D1A">
    <w:pPr>
      <w:pStyle w:val="Footer1"/>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A2A" w:rsidRPr="0046187A" w:rsidRDefault="00106A2A" w:rsidP="00056D1A">
    <w:pPr>
      <w:pStyle w:val="Footer1"/>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A2A" w:rsidRPr="0046187A" w:rsidRDefault="00106A2A" w:rsidP="00056D1A">
    <w:pPr>
      <w:pStyle w:val="Footer1"/>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A2A" w:rsidRPr="0046187A" w:rsidRDefault="00106A2A" w:rsidP="00056D1A">
    <w:pPr>
      <w:pStyle w:val="Footer1"/>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A2A" w:rsidRPr="0046187A" w:rsidRDefault="00106A2A" w:rsidP="00056D1A">
    <w:pPr>
      <w:pStyle w:val="Footer1"/>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A2A" w:rsidRPr="00106A2A" w:rsidRDefault="00106A2A" w:rsidP="00106A2A">
    <w:pPr>
      <w:pStyle w:val="Footer"/>
      <w:jc w:val="center"/>
    </w:pPr>
    <w:r>
      <w:fldChar w:fldCharType="begin"/>
    </w:r>
    <w:r>
      <w:instrText xml:space="preserve"> PAGE  \* ArabicDash  \* MERGEFORMAT </w:instrText>
    </w:r>
    <w:r>
      <w:fldChar w:fldCharType="separate"/>
    </w:r>
    <w:r>
      <w:rPr>
        <w:noProof/>
      </w:rPr>
      <w:t>- 141 -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331" w:rsidRPr="00106A2A" w:rsidRDefault="00204331">
      <w:r w:rsidRPr="00106A2A">
        <w:separator/>
      </w:r>
    </w:p>
    <w:p w:rsidR="00204331" w:rsidRPr="00106A2A" w:rsidRDefault="00204331"/>
  </w:footnote>
  <w:footnote w:type="continuationSeparator" w:id="0">
    <w:p w:rsidR="00204331" w:rsidRPr="00106A2A" w:rsidRDefault="00204331">
      <w:r w:rsidRPr="00106A2A">
        <w:continuationSeparator/>
      </w:r>
    </w:p>
    <w:p w:rsidR="00204331" w:rsidRPr="00106A2A" w:rsidRDefault="00204331"/>
  </w:footnote>
  <w:footnote w:id="1">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ОВ С 152, 6.4.2022 г., стр. 158.</w:t>
      </w:r>
    </w:p>
  </w:footnote>
  <w:footnote w:id="2">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ОВ С 301, 5.8.2022 г., стр. 70.</w:t>
      </w:r>
    </w:p>
  </w:footnote>
  <w:footnote w:id="3">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Позиция на Европейския парламент от 18 април 2023 г.</w:t>
      </w:r>
    </w:p>
  </w:footnote>
  <w:footnote w:id="4">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ОВ L 282, 19.10.2016 г., стр. 4.</w:t>
      </w:r>
    </w:p>
  </w:footnote>
  <w:footnote w:id="5">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Регламент (ЕС) 2021/1119 на Европейския парламент и на Съвета от 30 юни 2021 г. за създаване на рамката за постигане на неутралност по отношение на климата и за изменение на регламенти (ЕО) № 401/2009 и (ЕС) 2018/1999 (Европейски закон за климата) (ОВ L 243, 9.7.2021 г., стр. 1).</w:t>
      </w:r>
    </w:p>
  </w:footnote>
  <w:footnote w:id="6">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Директива 2003/87/ЕО на Европейския парламент и на Съвета от 13 октомври 2003 г. за установяване на система за търговия с квоти за емисии на парникови газове в рамките на Съюза и за изменение на Директива 96/61/ЕО на Съвета (ОВ L 275, 25.10.2003 г., стр. 32).</w:t>
      </w:r>
    </w:p>
  </w:footnote>
  <w:footnote w:id="7">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Директива 2010/31/ЕС на Европейския парламент и на Съвета от 19 май 2010 г. относно енергийните характеристики на сградите (ОВ L 153, 18.6.2010 г., стр. 13).</w:t>
      </w:r>
    </w:p>
  </w:footnote>
  <w:footnote w:id="8">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b/>
          <w:bCs/>
          <w:i/>
          <w:iCs/>
          <w:sz w:val="24"/>
          <w:szCs w:val="24"/>
        </w:rPr>
        <w:t xml:space="preserve"> </w:t>
      </w:r>
      <w:r w:rsidRPr="00106A2A">
        <w:rPr>
          <w:b/>
          <w:bCs/>
          <w:i/>
          <w:iCs/>
          <w:sz w:val="24"/>
          <w:szCs w:val="24"/>
        </w:rPr>
        <w:tab/>
      </w:r>
      <w:r w:rsidRPr="00106A2A">
        <w:rPr>
          <w:b/>
          <w:bCs/>
          <w:i/>
          <w:iCs/>
          <w:sz w:val="24"/>
          <w:szCs w:val="24"/>
        </w:rPr>
        <w:t>ОВ С 243, 27.6.2022 г., стр. 35.</w:t>
      </w:r>
    </w:p>
  </w:footnote>
  <w:footnote w:id="9">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Регламент (ЕС, Евратом) 2020/2093 на Съвета от 17 декември 2020 г. за определяне на многогодишната финансова рамка за годините 2021—2027 (ОВ L 433I, 22.12.2020 г., стр. 11).</w:t>
      </w:r>
    </w:p>
  </w:footnote>
  <w:footnote w:id="10">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Регламент (ЕС) 2020/2094 на Съвета от 14 декември 2020 г. за създаване на Инструмент на Европейския съюз за възстановяване с цел подкрепа на възстановяването след кризата с COVID-19 (OВ L 433I, 22.12.2020 г., стр. 23).</w:t>
      </w:r>
    </w:p>
  </w:footnote>
  <w:footnote w:id="11">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Регламент (ЕС) 2021/241 на Европейския парламент и на Съвета от 12 февруари 2021 г. за създаване на Механизъм за възстановяване и устойчивост (ОВ L 57, 18.2.2021 г., стр. 17).</w:t>
      </w:r>
    </w:p>
  </w:footnote>
  <w:footnote w:id="12">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Регламент (ЕС) 2021/1060 на Европейския парламент и на Съвета от 24 юни 2021 г. за установяване на общоприложимите разпоредби за Европейския фонд за регионално развитие, Европейския социален фонд плюс, Кохезионния фонд, Фонда за справедлив преход и Европейския фонд за морско дело, рибарство и аквакултури, както и на финансовите правила за тях и за фонд „Убежище, миграция и интеграция“, фонд „Вътрешна сигурност“ и Инструмента за финансова подкрепа за управлението на границите и визовата политика (OВ L 231, 30.6.2021 г., стр. 159).</w:t>
      </w:r>
    </w:p>
  </w:footnote>
  <w:footnote w:id="13">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Регламент (ЕС) 2020/852 на Европейския парламент и на Съвета от 18 юни 2020 г. за създаване на рамка за улесняване на устойчивите инвестиции и за изменение на Регламент (ЕС) 2019/2088 (OВ L 198, 22.6.2020 г., стр. 13).</w:t>
      </w:r>
    </w:p>
  </w:footnote>
  <w:footnote w:id="14">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Регламент (ЕС) 2018/1999 на Европейския парламент и на Съвета от 11 декември 2018 г. относно управлението на Енергийния съюз и на действията в областта на климата, за изменение на регламенти (ЕО) № 663/2009 и (ЕО) № 715/2009 на Европейския парламент и на Съвета, директиви 94/22/ЕО, 98/70/ЕО, 2009/31/ЕО, 2009/73/ЕО, 2010/31/ЕС, 2012/27/ЕС и 2013/30/ЕС на Европейския парламент и на Съвета, директиви 2009/119/ЕО и (ЕС) 2015/652 на Съвета и за отмяна на Регламент (ЕС) № 525/2013 на Европейския парламент и на Съвета (ОВ L 328, 21.12.2018 г., стр. 1).</w:t>
      </w:r>
    </w:p>
  </w:footnote>
  <w:footnote w:id="15">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b/>
          <w:i/>
          <w:sz w:val="24"/>
          <w:szCs w:val="24"/>
        </w:rPr>
        <w:t xml:space="preserve"> </w:t>
      </w:r>
      <w:r w:rsidRPr="00106A2A">
        <w:rPr>
          <w:b/>
          <w:i/>
          <w:sz w:val="24"/>
          <w:szCs w:val="24"/>
        </w:rPr>
        <w:tab/>
      </w:r>
      <w:r w:rsidRPr="00106A2A">
        <w:rPr>
          <w:b/>
          <w:i/>
          <w:sz w:val="24"/>
          <w:szCs w:val="24"/>
        </w:rPr>
        <w:t>Регламент (ЕС) 2021/1056</w:t>
      </w:r>
      <w:r w:rsidRPr="00106A2A">
        <w:rPr>
          <w:sz w:val="24"/>
          <w:szCs w:val="24"/>
        </w:rPr>
        <w:t xml:space="preserve"> на Европейския парламент и на Съвета от </w:t>
      </w:r>
      <w:r w:rsidRPr="00106A2A">
        <w:rPr>
          <w:b/>
          <w:i/>
          <w:sz w:val="24"/>
          <w:szCs w:val="24"/>
        </w:rPr>
        <w:t>24 юни 2021 г. за създаване на Фонда за справедлив преход (OВ L 231, 30.6.2021 г., стр. 1)</w:t>
      </w:r>
      <w:r w:rsidRPr="00106A2A">
        <w:rPr>
          <w:sz w:val="24"/>
          <w:szCs w:val="24"/>
        </w:rPr>
        <w:t>.</w:t>
      </w:r>
    </w:p>
  </w:footnote>
  <w:footnote w:id="16">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b/>
          <w:i/>
          <w:sz w:val="24"/>
          <w:szCs w:val="24"/>
        </w:rPr>
        <w:t xml:space="preserve"> </w:t>
      </w:r>
      <w:r w:rsidRPr="00106A2A">
        <w:rPr>
          <w:b/>
          <w:i/>
          <w:sz w:val="24"/>
          <w:szCs w:val="24"/>
        </w:rPr>
        <w:tab/>
      </w:r>
      <w:r w:rsidRPr="00106A2A">
        <w:rPr>
          <w:b/>
          <w:i/>
          <w:sz w:val="24"/>
          <w:szCs w:val="24"/>
        </w:rPr>
        <w:t>Регламент</w:t>
      </w:r>
      <w:r w:rsidRPr="00106A2A">
        <w:rPr>
          <w:sz w:val="24"/>
          <w:szCs w:val="24"/>
        </w:rPr>
        <w:t xml:space="preserve"> (ЕС, Евратом) </w:t>
      </w:r>
      <w:r w:rsidRPr="00106A2A">
        <w:rPr>
          <w:b/>
          <w:i/>
          <w:sz w:val="24"/>
          <w:szCs w:val="24"/>
        </w:rPr>
        <w:t>2018/1046 на Европейския парламент и на Съвета от 18 юли 2018 г. за финансовите правила, приложими за общия бюджет на</w:t>
      </w:r>
      <w:r w:rsidRPr="00106A2A">
        <w:rPr>
          <w:sz w:val="24"/>
          <w:szCs w:val="24"/>
        </w:rPr>
        <w:t xml:space="preserve"> Съюза, </w:t>
      </w:r>
      <w:r w:rsidRPr="00106A2A">
        <w:rPr>
          <w:b/>
          <w:i/>
          <w:sz w:val="24"/>
          <w:szCs w:val="24"/>
        </w:rPr>
        <w:t>за изменение на регламенти (ЕС) № 1296/2013, (ЕС) № 1301/2013, (ЕС) № 1303/2013, (ЕС) № 1304/2013, (ЕС) № 1309/2013, (ЕС) № 1316/2013, (ЕС) № 223/2014 и (ЕС) № 283/2014 и на Решение № 541/2014/ЕС</w:t>
      </w:r>
      <w:r w:rsidRPr="00106A2A">
        <w:rPr>
          <w:sz w:val="24"/>
          <w:szCs w:val="24"/>
        </w:rPr>
        <w:t xml:space="preserve"> и за отмяна на </w:t>
      </w:r>
      <w:r w:rsidRPr="00106A2A">
        <w:rPr>
          <w:b/>
          <w:i/>
          <w:sz w:val="24"/>
          <w:szCs w:val="24"/>
        </w:rPr>
        <w:t>Регламент (ЕС</w:t>
      </w:r>
      <w:r w:rsidRPr="00106A2A">
        <w:rPr>
          <w:sz w:val="24"/>
          <w:szCs w:val="24"/>
        </w:rPr>
        <w:t xml:space="preserve">, Евратом) </w:t>
      </w:r>
      <w:r w:rsidRPr="00106A2A">
        <w:rPr>
          <w:b/>
          <w:i/>
          <w:sz w:val="24"/>
          <w:szCs w:val="24"/>
        </w:rPr>
        <w:t>№ 966/2012 (ОВ L 193, 30.7.2018 г.</w:t>
      </w:r>
      <w:r w:rsidRPr="00106A2A">
        <w:rPr>
          <w:sz w:val="24"/>
          <w:szCs w:val="24"/>
        </w:rPr>
        <w:t>, стр. 1).</w:t>
      </w:r>
    </w:p>
  </w:footnote>
  <w:footnote w:id="17">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b/>
          <w:i/>
          <w:sz w:val="24"/>
          <w:szCs w:val="24"/>
        </w:rPr>
        <w:t xml:space="preserve"> </w:t>
      </w:r>
      <w:r w:rsidRPr="00106A2A">
        <w:rPr>
          <w:b/>
          <w:i/>
          <w:sz w:val="24"/>
          <w:szCs w:val="24"/>
        </w:rPr>
        <w:tab/>
      </w:r>
      <w:r w:rsidRPr="00106A2A">
        <w:rPr>
          <w:b/>
          <w:i/>
          <w:sz w:val="24"/>
          <w:szCs w:val="24"/>
        </w:rPr>
        <w:t>Регламент (ЕС, Евратом) 2020/2092 на Европейския парламент и на Съвета от 16 декември 2020 г. относно общ режим на обвързаност с условия за защита на бюджета на Съюза (OВ L 433I, 22.12.2020 г., стр. 1).</w:t>
      </w:r>
    </w:p>
  </w:footnote>
  <w:footnote w:id="18">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(ОВ L 119, 4.5.2016 г., стр. 1).</w:t>
      </w:r>
    </w:p>
  </w:footnote>
  <w:footnote w:id="19">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Регламент (ЕС) 2018/1725 на Европейския парламент и на Съвета от 23 октомври 2018 г. относно защитата на физическите лица във връзка с обработването на лични данни от институциите, органите, службите и агенциите на Съюза и относно свободното движение на такива данни и за отмяна на Регламент (ЕО) № 45/2001 и Решение № 1247/2002/ЕО (ОВ L 295, 21.11.2018 г., стр. 39).</w:t>
      </w:r>
    </w:p>
  </w:footnote>
  <w:footnote w:id="20">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Регламент (ЕС, Евратом) № 883/2013 на Европейския парламент и на Съвета от 11 септември 2013 г. относно разследванията, провеждани от Европейската служба за борба с измамите (OLAF), и за отмяна на Регламент (ЕО) № 1073/1999 на Европейския парламент и на Съвета и Регламент (Евратом) № 1074/1999 на Съвета (ОВ L 248, 18.9.2013 г., стр. 1).</w:t>
      </w:r>
    </w:p>
  </w:footnote>
  <w:footnote w:id="21">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Регламент (ЕО, Евратом) № 2988/95 на Съвета от 18 декември 1995 г. относно защитата на финансовите интереси на Европейските общности (ОВ L 312, 23.12.1995 г., стр. 1).</w:t>
      </w:r>
    </w:p>
  </w:footnote>
  <w:footnote w:id="22">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Регламент (Евратом, ЕО) № 2185/96 на Съвета от 11 ноември 1996 г. относно контрола и проверките на място, извършвани от Комисията за защита на финансовите интереси на Европейските общности срещу измами и други нередности (ОВ L 292, 15.11.1996 г., стр. 2).</w:t>
      </w:r>
    </w:p>
  </w:footnote>
  <w:footnote w:id="23">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Регламент (ЕС) 2017/1939 на Съвета от 12 октомври 2017 г. за установяване на засилено сътрудничество за създаване на Европейска прокуратура (OВ L 283, 31.10.2017 г., стр. 1).</w:t>
      </w:r>
    </w:p>
  </w:footnote>
  <w:footnote w:id="24">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Директива (ЕС) 2017/1371 на Европейския парламент и на Съвета от 5 юли 2017 г. относно борбата с измамите, засягащи финансовите интереси на Съюза, по наказателноправен ред (ОВ L 198, 28.7.2017 г., стр. 29).</w:t>
      </w:r>
    </w:p>
  </w:footnote>
  <w:footnote w:id="25">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Директива (ЕС) 2018/2001 на Европейския парламент и на Съвета от 11 декември 2018 г. за насърчаване използването на енергия от възобновяеми източници (ОВ L 328, 21.12.2018 г., стр. 82).</w:t>
      </w:r>
    </w:p>
  </w:footnote>
  <w:footnote w:id="26">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Регламент (EС) 2019/1700 на Европейския парламент и на Съвета от 10 октомври 2019 г. за създаване на обща рамка за европейската статистика за лицата и домакинствата, основана на индивидуални данни, събрани чрез извадки, за изменение на регламенти (EО) № 808/2004, (EО) № 452/2008 и (EО) № 1338/2008 на Европейския парламент и на Съвета, и за отмяна на Регламент (EО) № 1177/2003 на Европейския парламент и на Съвета и на Регламент (EО) № 577/98 на Съвета (ОВ L 261I, 14.10.2019 г., стр. 1).</w:t>
      </w:r>
    </w:p>
  </w:footnote>
  <w:footnote w:id="27">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Регламент (ЕС) № 651/2014 на Комисията от 17 юни 2014 г. за обявяване на някои категории помощи за съвместими с вътрешния пазар в приложение на членове 107 и 108 от Договора (ОВ L 187, 26.6.2014 г., стр. 1).</w:t>
      </w:r>
    </w:p>
  </w:footnote>
  <w:footnote w:id="28">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b/>
          <w:i/>
          <w:sz w:val="24"/>
          <w:szCs w:val="24"/>
        </w:rPr>
        <w:t xml:space="preserve"> </w:t>
      </w:r>
      <w:r w:rsidRPr="00106A2A">
        <w:rPr>
          <w:b/>
          <w:i/>
          <w:sz w:val="24"/>
          <w:szCs w:val="24"/>
        </w:rPr>
        <w:tab/>
      </w:r>
      <w:r w:rsidRPr="00106A2A">
        <w:rPr>
          <w:b/>
          <w:i/>
          <w:sz w:val="24"/>
          <w:szCs w:val="24"/>
        </w:rPr>
        <w:t>Директива (ЕС) 2019/944 на Европейския парламент и на Съвета от 5 юни 2019 г. относно общите правила за вътрешния пазар на електроенергия и за изменение на Директива 2012/27/ЕС (ОВ L 158, 14.6.2019 г., стр. 125).</w:t>
      </w:r>
    </w:p>
  </w:footnote>
  <w:footnote w:id="29">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b/>
          <w:i/>
          <w:sz w:val="24"/>
          <w:szCs w:val="24"/>
        </w:rPr>
        <w:t xml:space="preserve"> </w:t>
      </w:r>
      <w:r w:rsidRPr="00106A2A">
        <w:rPr>
          <w:b/>
          <w:i/>
          <w:sz w:val="24"/>
          <w:szCs w:val="24"/>
        </w:rPr>
        <w:tab/>
      </w:r>
      <w:r w:rsidRPr="00106A2A">
        <w:rPr>
          <w:b/>
          <w:i/>
          <w:sz w:val="24"/>
          <w:szCs w:val="24"/>
        </w:rPr>
        <w:t>Регламент (ЕС) 2019/631 на Европейския парламент и на Съвета от 17 април 2019 г. за определяне на стандарти за емисиите на CO</w:t>
      </w:r>
      <w:r w:rsidRPr="00106A2A">
        <w:rPr>
          <w:b/>
          <w:i/>
          <w:sz w:val="24"/>
          <w:szCs w:val="24"/>
          <w:vertAlign w:val="subscript"/>
        </w:rPr>
        <w:t>2</w:t>
      </w:r>
      <w:r w:rsidRPr="00106A2A">
        <w:rPr>
          <w:b/>
          <w:i/>
          <w:sz w:val="24"/>
          <w:szCs w:val="24"/>
        </w:rPr>
        <w:t xml:space="preserve"> от нови леки пътнически автомобили и от нови леки търговски превозни средства и за отмяна на регламенти (ЕО) № 443/2009 и (ЕС) № 510/2011 (ОВ L 111, 25.4.2019 г., стр. 13).</w:t>
      </w:r>
    </w:p>
  </w:footnote>
  <w:footnote w:id="30">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Регламент (ЕС) 2021/240 на Европейския парламент и на Съвета от 10 февруари 2021 г. за създаване на Инструмент за техническа подкрепа (ОВ L 57, 18.2.2021 г., стр. 1).</w:t>
      </w:r>
    </w:p>
  </w:footnote>
  <w:footnote w:id="31">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Регламент (ЕС) 2021/523 на Европейския парламент и на Съвета от 24 март 2021 г. за създаване на програмата InvestEU и за изменение на Регламент (ЕС) 2015/1017 (ОВ L 107, 26.3.2021 г., стр. 30).</w:t>
      </w:r>
    </w:p>
  </w:footnote>
  <w:footnote w:id="32">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b/>
          <w:i/>
          <w:sz w:val="24"/>
          <w:szCs w:val="24"/>
        </w:rPr>
        <w:t xml:space="preserve"> </w:t>
      </w:r>
      <w:r w:rsidRPr="00106A2A">
        <w:rPr>
          <w:b/>
          <w:i/>
          <w:sz w:val="24"/>
          <w:szCs w:val="24"/>
        </w:rPr>
        <w:tab/>
      </w:r>
      <w:r w:rsidRPr="00106A2A">
        <w:rPr>
          <w:b/>
          <w:i/>
          <w:sz w:val="24"/>
          <w:szCs w:val="24"/>
        </w:rPr>
        <w:t>Директива 2009/33/ЕО на Европейския парламент и на Съвета от 23 април 2009 г. за насърчаване на чисти пътни превозни средства с цел да се подпомогне мобилността с ниски емисии (ОВ L 120, 15.5.2009 г., стр. 5).</w:t>
      </w:r>
    </w:p>
  </w:footnote>
  <w:footnote w:id="33">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Директива (ЕС) 2015/849 на Европейския парламент и на Съвета от 20 май 2015 г. за предотвратяване използването на финансовата система за целите на изпирането на пари и финансирането на тероризма, за изменение на Регламент (ЕС) № 648/2012 на Европейския парламент и на Съвета и за отмяна на Директива 2005/60/ЕО на Европейския парламент и на Съвета и на Директива 2006/70/ЕО на Комисията (ОВ L 141, 5.6.2015 г., стр. 73).</w:t>
      </w:r>
    </w:p>
  </w:footnote>
  <w:footnote w:id="34">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Директива 2014/24/ЕС на Европейския парламент и на Съвета от 26 февруари 2014 г. за обществените поръчки и за отмяна на Директива 2004/18/ЕО (ОВ L 94, 28.3.2014 г., стр. 65).</w:t>
      </w:r>
    </w:p>
  </w:footnote>
  <w:footnote w:id="35">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Директива (ЕС) 2019/1024 на Европейския парламент и на Съвета от 20 юни 2019 г. относно отворените данни и повторното използване на информацията от обществения сектор (ОВ L 172, 26.6.2019 г., стр. 56).</w:t>
      </w:r>
    </w:p>
  </w:footnote>
  <w:footnote w:id="36">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b/>
          <w:i/>
          <w:sz w:val="24"/>
          <w:szCs w:val="24"/>
        </w:rPr>
        <w:t xml:space="preserve"> </w:t>
      </w:r>
      <w:r w:rsidRPr="00106A2A">
        <w:rPr>
          <w:b/>
          <w:i/>
          <w:sz w:val="24"/>
          <w:szCs w:val="24"/>
        </w:rPr>
        <w:tab/>
      </w:r>
      <w:r w:rsidRPr="00106A2A">
        <w:rPr>
          <w:b/>
          <w:i/>
          <w:sz w:val="24"/>
          <w:szCs w:val="24"/>
        </w:rPr>
        <w:t>Регламент (ЕС) 2018/842 на Европейския парламент и на Съвета от 30 май 2018 г. за задължителните годишни намаления на емисиите на парникови газове за държавите членки през периода 2021—2030 г., допринасящи за действията в областта на климата в изпълнение на задълженията, поети по Парижкото споразумение, и за изменение на Регламент (ЕС) № 525/2013 (ОВ L 156, 19.6.2018 г., стр. 26).</w:t>
      </w:r>
    </w:p>
  </w:footnote>
  <w:footnote w:id="37">
    <w:p w:rsidR="00106A2A" w:rsidRPr="00106A2A" w:rsidRDefault="00106A2A" w:rsidP="00106A2A">
      <w:pPr>
        <w:pStyle w:val="FootnoteText"/>
        <w:ind w:left="567" w:hanging="567"/>
        <w:rPr>
          <w:sz w:val="24"/>
          <w:szCs w:val="24"/>
        </w:rPr>
      </w:pPr>
      <w:r w:rsidRPr="00106A2A">
        <w:rPr>
          <w:rStyle w:val="FootnoteReference"/>
          <w:sz w:val="24"/>
          <w:szCs w:val="24"/>
        </w:rPr>
        <w:t>+</w:t>
      </w:r>
      <w:r w:rsidRPr="00106A2A">
        <w:rPr>
          <w:sz w:val="24"/>
          <w:szCs w:val="24"/>
        </w:rPr>
        <w:t xml:space="preserve"> </w:t>
      </w:r>
      <w:r w:rsidRPr="00106A2A">
        <w:rPr>
          <w:sz w:val="24"/>
          <w:szCs w:val="24"/>
        </w:rPr>
        <w:tab/>
      </w:r>
      <w:r w:rsidRPr="00106A2A">
        <w:rPr>
          <w:sz w:val="24"/>
          <w:szCs w:val="24"/>
        </w:rPr>
        <w:t>ОВ: моля, въведете в текста номера на регламента, съдържащ се в документ PE-CONS 11/23 (2021/0206(COD), и добавете номера, датата, заглавието и данните за публикацията в ОВ на този регламент в бележката под линия.</w:t>
      </w:r>
    </w:p>
  </w:footnote>
  <w:footnote w:id="38">
    <w:p w:rsidR="00106A2A" w:rsidRPr="00106A2A" w:rsidRDefault="00106A2A" w:rsidP="00106A2A">
      <w:pPr>
        <w:pStyle w:val="FootnoteText"/>
        <w:ind w:left="567" w:hanging="567"/>
        <w:rPr>
          <w:sz w:val="24"/>
          <w:szCs w:val="24"/>
        </w:rPr>
      </w:pPr>
      <w:r w:rsidRPr="00106A2A">
        <w:rPr>
          <w:rStyle w:val="FootnoteReference"/>
          <w:sz w:val="24"/>
          <w:szCs w:val="24"/>
        </w:rPr>
        <w:t>+</w:t>
      </w:r>
      <w:r w:rsidRPr="00106A2A">
        <w:rPr>
          <w:sz w:val="24"/>
          <w:szCs w:val="24"/>
        </w:rPr>
        <w:t xml:space="preserve"> </w:t>
      </w:r>
      <w:r w:rsidRPr="00106A2A">
        <w:rPr>
          <w:sz w:val="24"/>
          <w:szCs w:val="24"/>
        </w:rPr>
        <w:tab/>
      </w:r>
      <w:r w:rsidRPr="00106A2A">
        <w:rPr>
          <w:sz w:val="24"/>
          <w:szCs w:val="24"/>
        </w:rPr>
        <w:t>ОВ: моля, въведете в текста номера на регламента, съдържащ се в документ PE-CONS 11/23 (2021/0206(COD).</w:t>
      </w:r>
    </w:p>
  </w:footnote>
  <w:footnote w:id="39">
    <w:p w:rsidR="00106A2A" w:rsidRPr="00106A2A" w:rsidRDefault="00106A2A" w:rsidP="00106A2A">
      <w:pPr>
        <w:pStyle w:val="FootnoteText"/>
        <w:ind w:left="567" w:hanging="567"/>
        <w:rPr>
          <w:sz w:val="24"/>
          <w:szCs w:val="24"/>
        </w:rPr>
      </w:pPr>
      <w:r w:rsidRPr="00106A2A">
        <w:rPr>
          <w:rStyle w:val="FootnoteReference"/>
          <w:sz w:val="24"/>
          <w:szCs w:val="24"/>
        </w:rPr>
        <w:t>+</w:t>
      </w:r>
      <w:r w:rsidRPr="00106A2A">
        <w:rPr>
          <w:sz w:val="24"/>
          <w:szCs w:val="24"/>
        </w:rPr>
        <w:t xml:space="preserve"> </w:t>
      </w:r>
      <w:r w:rsidRPr="00106A2A">
        <w:rPr>
          <w:sz w:val="24"/>
          <w:szCs w:val="24"/>
        </w:rPr>
        <w:tab/>
      </w:r>
      <w:r w:rsidRPr="00106A2A">
        <w:rPr>
          <w:sz w:val="24"/>
          <w:szCs w:val="24"/>
        </w:rPr>
        <w:t>ОВ: моля, въведете в текста номера на регламента, съдържащ се в документ PE-CONS 11/23 (2021/0206(COD).</w:t>
      </w:r>
    </w:p>
  </w:footnote>
  <w:footnote w:id="40">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Директива (ЕС) …/… на Европейския парламент и на Съвета от ... за изменение на Директива 2003/87/ЕО за установяване на система за търговия с квоти за емисии на парникови газове в рамките на Съюза и Решение (ЕС) 2015/1814 относно създаването и функционирането на резерв за стабилност на пазара за системата на Съюза за търговия с емисии на парникови газове (ОВ …).</w:t>
      </w:r>
    </w:p>
  </w:footnote>
  <w:footnote w:id="41">
    <w:p w:rsidR="00106A2A" w:rsidRPr="00106A2A" w:rsidRDefault="00106A2A" w:rsidP="00106A2A">
      <w:pPr>
        <w:pStyle w:val="FootnoteText"/>
        <w:ind w:left="567" w:hanging="567"/>
        <w:rPr>
          <w:sz w:val="24"/>
          <w:szCs w:val="24"/>
        </w:rPr>
      </w:pPr>
      <w:r w:rsidRPr="00106A2A">
        <w:rPr>
          <w:rStyle w:val="FootnoteReference"/>
          <w:sz w:val="24"/>
          <w:szCs w:val="24"/>
        </w:rPr>
        <w:t>+</w:t>
      </w:r>
      <w:bookmarkStart w:id="1" w:name="_Hlk126670494"/>
      <w:r w:rsidRPr="00106A2A">
        <w:rPr>
          <w:sz w:val="24"/>
          <w:szCs w:val="24"/>
        </w:rPr>
        <w:t xml:space="preserve"> </w:t>
      </w:r>
      <w:r w:rsidRPr="00106A2A">
        <w:rPr>
          <w:sz w:val="24"/>
          <w:szCs w:val="24"/>
        </w:rPr>
        <w:tab/>
      </w:r>
      <w:r w:rsidRPr="00106A2A">
        <w:rPr>
          <w:sz w:val="24"/>
          <w:szCs w:val="24"/>
        </w:rPr>
        <w:t>ОВ: моля, въведете в текста номера на директивата, съдържаща се в документ PE-CONS 9/23 (2021/0211A(COD), и добавете номера, датата и данните за публикацията в ОВ на тази директива в бележката под линия.</w:t>
      </w:r>
      <w:bookmarkEnd w:id="1"/>
    </w:p>
  </w:footnote>
  <w:footnote w:id="42">
    <w:p w:rsidR="00106A2A" w:rsidRPr="00106A2A" w:rsidRDefault="00106A2A" w:rsidP="00106A2A">
      <w:pPr>
        <w:pStyle w:val="FootnoteText"/>
        <w:ind w:left="567" w:hanging="567"/>
        <w:rPr>
          <w:sz w:val="24"/>
          <w:szCs w:val="24"/>
        </w:rPr>
      </w:pPr>
      <w:r w:rsidRPr="00106A2A">
        <w:rPr>
          <w:rStyle w:val="FootnoteReference"/>
          <w:sz w:val="24"/>
          <w:szCs w:val="24"/>
        </w:rPr>
        <w:footnoteRef/>
      </w:r>
      <w:r w:rsidRPr="00106A2A">
        <w:rPr>
          <w:sz w:val="24"/>
          <w:szCs w:val="24"/>
        </w:rPr>
        <w:t xml:space="preserve"> </w:t>
      </w:r>
      <w:r w:rsidRPr="00106A2A">
        <w:rPr>
          <w:sz w:val="24"/>
          <w:szCs w:val="24"/>
        </w:rPr>
        <w:tab/>
      </w:r>
      <w:r w:rsidRPr="00106A2A">
        <w:rPr>
          <w:sz w:val="24"/>
          <w:szCs w:val="24"/>
        </w:rPr>
        <w:t>ОВ L 357, 27.10.2020 г., стр. 35.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A2A" w:rsidRPr="00106A2A" w:rsidRDefault="00106A2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A2A" w:rsidRPr="0046187A" w:rsidRDefault="00106A2A" w:rsidP="00056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A2A" w:rsidRPr="00106A2A" w:rsidRDefault="00106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A2A" w:rsidRPr="00106A2A" w:rsidRDefault="00106A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A2A" w:rsidRPr="0046187A" w:rsidRDefault="00106A2A" w:rsidP="00056D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A2A" w:rsidRPr="0046187A" w:rsidRDefault="00106A2A" w:rsidP="00056D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A2A" w:rsidRPr="0046187A" w:rsidRDefault="00106A2A" w:rsidP="00056D1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A2A" w:rsidRPr="0046187A" w:rsidRDefault="00106A2A" w:rsidP="00056D1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A2A" w:rsidRPr="0046187A" w:rsidRDefault="00106A2A" w:rsidP="00056D1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A2A" w:rsidRPr="0046187A" w:rsidRDefault="00106A2A" w:rsidP="00056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BFB40F5E"/>
    <w:lvl w:ilvl="0">
      <w:start w:val="1"/>
      <w:numFmt w:val="decimal"/>
      <w:pStyle w:val="Pointabc4"/>
      <w:lvlText w:val="%1."/>
      <w:lvlJc w:val="left"/>
      <w:pPr>
        <w:tabs>
          <w:tab w:val="num" w:pos="926"/>
        </w:tabs>
        <w:ind w:left="926" w:hanging="360"/>
      </w:pPr>
    </w:lvl>
  </w:abstractNum>
  <w:abstractNum w:abstractNumId="1" w15:restartNumberingAfterBreak="0">
    <w:nsid w:val="061F12B7"/>
    <w:multiLevelType w:val="hybridMultilevel"/>
    <w:tmpl w:val="6CAC71D8"/>
    <w:lvl w:ilvl="0" w:tplc="080C000F">
      <w:start w:val="1"/>
      <w:numFmt w:val="decimal"/>
      <w:pStyle w:val="Pointivx"/>
      <w:lvlText w:val="%1."/>
      <w:lvlJc w:val="left"/>
      <w:pPr>
        <w:ind w:left="720" w:hanging="360"/>
      </w:pPr>
    </w:lvl>
    <w:lvl w:ilvl="1" w:tplc="080C0019" w:tentative="1">
      <w:start w:val="1"/>
      <w:numFmt w:val="lowerLetter"/>
      <w:pStyle w:val="Pointivx1"/>
      <w:lvlText w:val="%2."/>
      <w:lvlJc w:val="left"/>
      <w:pPr>
        <w:ind w:left="1440" w:hanging="360"/>
      </w:pPr>
    </w:lvl>
    <w:lvl w:ilvl="2" w:tplc="080C001B" w:tentative="1">
      <w:start w:val="1"/>
      <w:numFmt w:val="lowerRoman"/>
      <w:pStyle w:val="Pointivx2"/>
      <w:lvlText w:val="%3."/>
      <w:lvlJc w:val="right"/>
      <w:pPr>
        <w:ind w:left="2160" w:hanging="180"/>
      </w:pPr>
    </w:lvl>
    <w:lvl w:ilvl="3" w:tplc="080C000F" w:tentative="1">
      <w:start w:val="1"/>
      <w:numFmt w:val="decimal"/>
      <w:pStyle w:val="Pointivx3"/>
      <w:lvlText w:val="%4."/>
      <w:lvlJc w:val="left"/>
      <w:pPr>
        <w:ind w:left="2880" w:hanging="360"/>
      </w:pPr>
    </w:lvl>
    <w:lvl w:ilvl="4" w:tplc="080C0019" w:tentative="1">
      <w:start w:val="1"/>
      <w:numFmt w:val="lowerLetter"/>
      <w:pStyle w:val="Pointivx4"/>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3" w15:restartNumberingAfterBreak="0">
    <w:nsid w:val="0A225A2D"/>
    <w:multiLevelType w:val="singleLevel"/>
    <w:tmpl w:val="5EAA04A8"/>
    <w:name w:val="Bullet 2"/>
    <w:lvl w:ilvl="0">
      <w:start w:val="1"/>
      <w:numFmt w:val="bullet"/>
      <w:lvlRestart w:val="0"/>
      <w:pStyle w:val="Bullet2"/>
      <w:lvlText w:val=""/>
      <w:lvlJc w:val="left"/>
      <w:pPr>
        <w:tabs>
          <w:tab w:val="num" w:pos="1984"/>
        </w:tabs>
        <w:ind w:left="1984" w:hanging="567"/>
      </w:pPr>
      <w:rPr>
        <w:rFonts w:ascii="Symbol" w:hAnsi="Symbol" w:hint="default"/>
        <w:bdr w:val="none" w:sz="0" w:space="0" w:color="auto"/>
      </w:rPr>
    </w:lvl>
  </w:abstractNum>
  <w:abstractNum w:abstractNumId="4" w15:restartNumberingAfterBreak="0">
    <w:nsid w:val="0BD52520"/>
    <w:multiLevelType w:val="singleLevel"/>
    <w:tmpl w:val="C8D4FE30"/>
    <w:name w:val="Bullet 1"/>
    <w:lvl w:ilvl="0">
      <w:start w:val="1"/>
      <w:numFmt w:val="bullet"/>
      <w:lvlRestart w:val="0"/>
      <w:pStyle w:val="Bullet1"/>
      <w:lvlText w:val=""/>
      <w:lvlJc w:val="left"/>
      <w:pPr>
        <w:tabs>
          <w:tab w:val="num" w:pos="1417"/>
        </w:tabs>
        <w:ind w:left="1417" w:hanging="567"/>
      </w:pPr>
      <w:rPr>
        <w:rFonts w:ascii="Symbol" w:hAnsi="Symbol" w:hint="default"/>
        <w:bdr w:val="none" w:sz="0" w:space="0" w:color="auto"/>
      </w:rPr>
    </w:lvl>
  </w:abstractNum>
  <w:abstractNum w:abstractNumId="5" w15:restartNumberingAfterBreak="0">
    <w:nsid w:val="0CC176F9"/>
    <w:multiLevelType w:val="singleLevel"/>
    <w:tmpl w:val="4282F5D2"/>
    <w:name w:val="Considérant"/>
    <w:lvl w:ilvl="0">
      <w:start w:val="1"/>
      <w:numFmt w:val="decimal"/>
      <w:lvlRestart w:val="0"/>
      <w:pStyle w:val="Point1231"/>
      <w:lvlText w:val="(%1)"/>
      <w:lvlJc w:val="left"/>
      <w:pPr>
        <w:tabs>
          <w:tab w:val="num" w:pos="850"/>
        </w:tabs>
        <w:ind w:left="850" w:hanging="850"/>
      </w:pPr>
      <w:rPr>
        <w:bdr w:val="none" w:sz="0" w:space="0" w:color="auto"/>
      </w:rPr>
    </w:lvl>
  </w:abstractNum>
  <w:abstractNum w:abstractNumId="6" w15:restartNumberingAfterBreak="0">
    <w:nsid w:val="0EEA6825"/>
    <w:multiLevelType w:val="singleLevel"/>
    <w:tmpl w:val="F14A3676"/>
    <w:name w:val="Tiret 0"/>
    <w:lvl w:ilvl="0">
      <w:start w:val="1"/>
      <w:numFmt w:val="bullet"/>
      <w:lvlRestart w:val="0"/>
      <w:pStyle w:val="Tiret0"/>
      <w:lvlText w:val="–"/>
      <w:lvlJc w:val="left"/>
      <w:pPr>
        <w:tabs>
          <w:tab w:val="num" w:pos="850"/>
        </w:tabs>
        <w:ind w:left="850" w:hanging="850"/>
      </w:pPr>
      <w:rPr>
        <w:bdr w:val="none" w:sz="0" w:space="0" w:color="auto"/>
      </w:rPr>
    </w:lvl>
  </w:abstractNum>
  <w:abstractNum w:abstractNumId="7" w15:restartNumberingAfterBreak="0">
    <w:nsid w:val="1A62485E"/>
    <w:multiLevelType w:val="singleLevel"/>
    <w:tmpl w:val="567057D0"/>
    <w:lvl w:ilvl="0">
      <w:start w:val="3"/>
      <w:numFmt w:val="decimal"/>
      <w:pStyle w:val="Dash3"/>
      <w:lvlText w:val="(%1)"/>
      <w:lvlJc w:val="left"/>
      <w:pPr>
        <w:tabs>
          <w:tab w:val="num" w:pos="709"/>
        </w:tabs>
        <w:ind w:left="709" w:hanging="709"/>
      </w:pPr>
      <w:rPr>
        <w:rFonts w:hint="default"/>
      </w:rPr>
    </w:lvl>
  </w:abstractNum>
  <w:abstractNum w:abstractNumId="8" w15:restartNumberingAfterBreak="0">
    <w:nsid w:val="1A777BB9"/>
    <w:multiLevelType w:val="multilevel"/>
    <w:tmpl w:val="0E762C96"/>
    <w:name w:val="NumPar"/>
    <w:lvl w:ilvl="0">
      <w:start w:val="1"/>
      <w:numFmt w:val="decimal"/>
      <w:lvlRestart w:val="0"/>
      <w:pStyle w:val="NumPar1"/>
      <w:lvlText w:val="%1."/>
      <w:lvlJc w:val="left"/>
      <w:pPr>
        <w:tabs>
          <w:tab w:val="num" w:pos="850"/>
        </w:tabs>
        <w:ind w:left="850" w:hanging="850"/>
      </w:pPr>
      <w:rPr>
        <w:bdr w:val="none" w:sz="0" w:space="0" w:color="auto"/>
      </w:rPr>
    </w:lvl>
    <w:lvl w:ilvl="1">
      <w:start w:val="1"/>
      <w:numFmt w:val="decimal"/>
      <w:pStyle w:val="NumPar2"/>
      <w:lvlText w:val="%1.%2."/>
      <w:lvlJc w:val="left"/>
      <w:pPr>
        <w:tabs>
          <w:tab w:val="num" w:pos="850"/>
        </w:tabs>
        <w:ind w:left="850" w:hanging="850"/>
      </w:pPr>
      <w:rPr>
        <w:bdr w:val="none" w:sz="0" w:space="0" w:color="auto"/>
      </w:rPr>
    </w:lvl>
    <w:lvl w:ilvl="2">
      <w:start w:val="1"/>
      <w:numFmt w:val="decimal"/>
      <w:pStyle w:val="NumPar3"/>
      <w:lvlText w:val="%1.%2.%3."/>
      <w:lvlJc w:val="left"/>
      <w:pPr>
        <w:tabs>
          <w:tab w:val="num" w:pos="850"/>
        </w:tabs>
        <w:ind w:left="850" w:hanging="850"/>
      </w:pPr>
      <w:rPr>
        <w:bdr w:val="none" w:sz="0" w:space="0" w:color="auto"/>
      </w:rPr>
    </w:lvl>
    <w:lvl w:ilvl="3">
      <w:start w:val="1"/>
      <w:numFmt w:val="decimal"/>
      <w:pStyle w:val="NumPar4"/>
      <w:lvlText w:val="%1.%2.%3.%4."/>
      <w:lvlJc w:val="left"/>
      <w:pPr>
        <w:tabs>
          <w:tab w:val="num" w:pos="850"/>
        </w:tabs>
        <w:ind w:left="850" w:hanging="850"/>
      </w:pPr>
      <w:rPr>
        <w:bdr w:val="none" w:sz="0" w:space="0" w:color="auto"/>
      </w:rPr>
    </w:lvl>
    <w:lvl w:ilvl="4">
      <w:start w:val="1"/>
      <w:numFmt w:val="decimal"/>
      <w:pStyle w:val="NumPar5"/>
      <w:lvlText w:val="%1.%2.%3.%4.%5."/>
      <w:lvlJc w:val="left"/>
      <w:pPr>
        <w:tabs>
          <w:tab w:val="num" w:pos="1417"/>
        </w:tabs>
        <w:ind w:left="1417" w:hanging="1417"/>
      </w:pPr>
      <w:rPr>
        <w:bdr w:val="none" w:sz="0" w:space="0" w:color="auto"/>
      </w:rPr>
    </w:lvl>
    <w:lvl w:ilvl="5">
      <w:start w:val="1"/>
      <w:numFmt w:val="decimal"/>
      <w:pStyle w:val="NumPar6"/>
      <w:lvlText w:val="%1.%2.%3.%4.%5.%6."/>
      <w:lvlJc w:val="left"/>
      <w:pPr>
        <w:tabs>
          <w:tab w:val="num" w:pos="1417"/>
        </w:tabs>
        <w:ind w:left="1417" w:hanging="1417"/>
      </w:pPr>
      <w:rPr>
        <w:bdr w:val="none" w:sz="0" w:space="0" w:color="auto"/>
      </w:rPr>
    </w:lvl>
    <w:lvl w:ilvl="6">
      <w:start w:val="1"/>
      <w:numFmt w:val="decimal"/>
      <w:pStyle w:val="NumPar7"/>
      <w:lvlText w:val="%1.%2.%3.%4.%5.%6.%7."/>
      <w:lvlJc w:val="left"/>
      <w:pPr>
        <w:tabs>
          <w:tab w:val="num" w:pos="1417"/>
        </w:tabs>
        <w:ind w:left="1417" w:hanging="1417"/>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9" w15:restartNumberingAfterBreak="0">
    <w:nsid w:val="227D4168"/>
    <w:multiLevelType w:val="multilevel"/>
    <w:tmpl w:val="34608F4E"/>
    <w:lvl w:ilvl="0">
      <w:start w:val="1"/>
      <w:numFmt w:val="bullet"/>
      <w:pStyle w:val="Heading123"/>
      <w:lvlText w:val=""/>
      <w:lvlJc w:val="left"/>
      <w:rPr>
        <w:rFonts w:ascii="Symbol" w:hAnsi="Symbo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A56F26"/>
    <w:multiLevelType w:val="singleLevel"/>
    <w:tmpl w:val="FE964A34"/>
    <w:name w:val="Bullet 0"/>
    <w:lvl w:ilvl="0">
      <w:start w:val="1"/>
      <w:numFmt w:val="bullet"/>
      <w:lvlRestart w:val="0"/>
      <w:pStyle w:val="Bullet0"/>
      <w:lvlText w:val=""/>
      <w:lvlJc w:val="left"/>
      <w:pPr>
        <w:tabs>
          <w:tab w:val="num" w:pos="850"/>
        </w:tabs>
        <w:ind w:left="850" w:hanging="850"/>
      </w:pPr>
      <w:rPr>
        <w:rFonts w:ascii="Symbol" w:hAnsi="Symbol" w:hint="default"/>
        <w:bdr w:val="none" w:sz="0" w:space="0" w:color="auto"/>
      </w:rPr>
    </w:lvl>
  </w:abstractNum>
  <w:abstractNum w:abstractNumId="11"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2" w15:restartNumberingAfterBreak="0">
    <w:nsid w:val="408198C2"/>
    <w:multiLevelType w:val="singleLevel"/>
    <w:tmpl w:val="B172D000"/>
    <w:name w:val="Tiret 5"/>
    <w:lvl w:ilvl="0">
      <w:start w:val="1"/>
      <w:numFmt w:val="bullet"/>
      <w:lvlRestart w:val="0"/>
      <w:pStyle w:val="Tiret5"/>
      <w:lvlText w:val="–"/>
      <w:lvlJc w:val="left"/>
      <w:pPr>
        <w:tabs>
          <w:tab w:val="num" w:pos="3685"/>
        </w:tabs>
        <w:ind w:left="3685" w:hanging="567"/>
      </w:pPr>
      <w:rPr>
        <w:bdr w:val="none" w:sz="0" w:space="0" w:color="auto"/>
      </w:rPr>
    </w:lvl>
  </w:abstractNum>
  <w:abstractNum w:abstractNumId="13" w15:restartNumberingAfterBreak="0">
    <w:nsid w:val="42FC0772"/>
    <w:multiLevelType w:val="singleLevel"/>
    <w:tmpl w:val="4128FCF8"/>
    <w:lvl w:ilvl="0">
      <w:start w:val="1"/>
      <w:numFmt w:val="bullet"/>
      <w:pStyle w:val="Point1232"/>
      <w:lvlText w:val="–"/>
      <w:lvlJc w:val="left"/>
      <w:pPr>
        <w:tabs>
          <w:tab w:val="num" w:pos="3118"/>
        </w:tabs>
        <w:ind w:left="3118" w:hanging="567"/>
      </w:pPr>
    </w:lvl>
  </w:abstractNum>
  <w:abstractNum w:abstractNumId="14" w15:restartNumberingAfterBreak="0">
    <w:nsid w:val="4B013CF3"/>
    <w:multiLevelType w:val="singleLevel"/>
    <w:tmpl w:val="5D7CB33C"/>
    <w:name w:val="Tiret 1"/>
    <w:lvl w:ilvl="0">
      <w:start w:val="1"/>
      <w:numFmt w:val="bullet"/>
      <w:lvlRestart w:val="0"/>
      <w:pStyle w:val="Tiret1"/>
      <w:lvlText w:val="–"/>
      <w:lvlJc w:val="left"/>
      <w:pPr>
        <w:tabs>
          <w:tab w:val="num" w:pos="1417"/>
        </w:tabs>
        <w:ind w:left="1417" w:hanging="567"/>
      </w:pPr>
      <w:rPr>
        <w:bdr w:val="none" w:sz="0" w:space="0" w:color="auto"/>
      </w:rPr>
    </w:lvl>
  </w:abstractNum>
  <w:abstractNum w:abstractNumId="15" w15:restartNumberingAfterBreak="0">
    <w:nsid w:val="523628EF"/>
    <w:multiLevelType w:val="singleLevel"/>
    <w:tmpl w:val="34FC1884"/>
    <w:name w:val="Tiret 3"/>
    <w:lvl w:ilvl="0">
      <w:start w:val="1"/>
      <w:numFmt w:val="bullet"/>
      <w:lvlRestart w:val="0"/>
      <w:pStyle w:val="Tiret3"/>
      <w:lvlText w:val="–"/>
      <w:lvlJc w:val="left"/>
      <w:pPr>
        <w:tabs>
          <w:tab w:val="num" w:pos="2551"/>
        </w:tabs>
        <w:ind w:left="2551" w:hanging="567"/>
      </w:pPr>
      <w:rPr>
        <w:bdr w:val="none" w:sz="0" w:space="0" w:color="auto"/>
      </w:rPr>
    </w:lvl>
  </w:abstractNum>
  <w:abstractNum w:abstractNumId="16" w15:restartNumberingAfterBreak="0">
    <w:nsid w:val="556E1D63"/>
    <w:multiLevelType w:val="singleLevel"/>
    <w:tmpl w:val="493AAFF0"/>
    <w:lvl w:ilvl="0">
      <w:start w:val="1"/>
      <w:numFmt w:val="bullet"/>
      <w:pStyle w:val="Dash4"/>
      <w:lvlText w:val=""/>
      <w:lvlJc w:val="left"/>
      <w:pPr>
        <w:tabs>
          <w:tab w:val="num" w:pos="3118"/>
        </w:tabs>
        <w:ind w:left="3118" w:hanging="567"/>
      </w:pPr>
      <w:rPr>
        <w:rFonts w:ascii="Symbol" w:hAnsi="Symbol" w:hint="default"/>
      </w:rPr>
    </w:lvl>
  </w:abstractNum>
  <w:abstractNum w:abstractNumId="17" w15:restartNumberingAfterBreak="0">
    <w:nsid w:val="561226A2"/>
    <w:multiLevelType w:val="singleLevel"/>
    <w:tmpl w:val="E5081854"/>
    <w:name w:val="Tiret 2"/>
    <w:lvl w:ilvl="0">
      <w:start w:val="1"/>
      <w:numFmt w:val="bullet"/>
      <w:lvlRestart w:val="0"/>
      <w:pStyle w:val="Tiret2"/>
      <w:lvlText w:val="–"/>
      <w:lvlJc w:val="left"/>
      <w:pPr>
        <w:tabs>
          <w:tab w:val="num" w:pos="1984"/>
        </w:tabs>
        <w:ind w:left="1984" w:hanging="567"/>
      </w:pPr>
      <w:rPr>
        <w:bdr w:val="none" w:sz="0" w:space="0" w:color="auto"/>
      </w:rPr>
    </w:lvl>
  </w:abstractNum>
  <w:abstractNum w:abstractNumId="18" w15:restartNumberingAfterBreak="0">
    <w:nsid w:val="587A2BDD"/>
    <w:multiLevelType w:val="singleLevel"/>
    <w:tmpl w:val="E38EEEF1"/>
    <w:name w:val="Bullet 5"/>
    <w:lvl w:ilvl="0">
      <w:start w:val="1"/>
      <w:numFmt w:val="bullet"/>
      <w:lvlRestart w:val="0"/>
      <w:pStyle w:val="Bullet5"/>
      <w:lvlText w:val=""/>
      <w:lvlJc w:val="left"/>
      <w:pPr>
        <w:tabs>
          <w:tab w:val="num" w:pos="3685"/>
        </w:tabs>
        <w:ind w:left="3685" w:hanging="567"/>
      </w:pPr>
      <w:rPr>
        <w:rFonts w:ascii="Symbol" w:hAnsi="Symbol" w:hint="default"/>
        <w:bdr w:val="none" w:sz="0" w:space="0" w:color="auto"/>
      </w:rPr>
    </w:lvl>
  </w:abstractNum>
  <w:abstractNum w:abstractNumId="19" w15:restartNumberingAfterBreak="0">
    <w:nsid w:val="5B395AAA"/>
    <w:multiLevelType w:val="singleLevel"/>
    <w:tmpl w:val="96D02E8A"/>
    <w:lvl w:ilvl="0">
      <w:start w:val="1"/>
      <w:numFmt w:val="bullet"/>
      <w:pStyle w:val="Dash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lvl w:ilvl="0">
      <w:start w:val="1"/>
      <w:numFmt w:val="bullet"/>
      <w:pStyle w:val="Dash2"/>
      <w:lvlText w:val=""/>
      <w:lvlJc w:val="left"/>
      <w:pPr>
        <w:tabs>
          <w:tab w:val="num" w:pos="1984"/>
        </w:tabs>
        <w:ind w:left="1984" w:hanging="567"/>
      </w:pPr>
      <w:rPr>
        <w:rFonts w:ascii="Symbol" w:hAnsi="Symbol" w:hint="default"/>
      </w:rPr>
    </w:lvl>
  </w:abstractNum>
  <w:abstractNum w:abstractNumId="21" w15:restartNumberingAfterBreak="0">
    <w:nsid w:val="5E6354B9"/>
    <w:multiLevelType w:val="multilevel"/>
    <w:tmpl w:val="08090025"/>
    <w:lvl w:ilvl="0">
      <w:start w:val="1"/>
      <w:numFmt w:val="decimal"/>
      <w:pStyle w:val="Heading11"/>
      <w:lvlText w:val="%1"/>
      <w:lvlJc w:val="left"/>
      <w:pPr>
        <w:ind w:left="432" w:hanging="432"/>
      </w:pPr>
    </w:lvl>
    <w:lvl w:ilvl="1">
      <w:start w:val="1"/>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22" w15:restartNumberingAfterBreak="0">
    <w:nsid w:val="5F8C3B69"/>
    <w:multiLevelType w:val="multilevel"/>
    <w:tmpl w:val="504A8804"/>
    <w:lvl w:ilvl="0">
      <w:start w:val="1"/>
      <w:numFmt w:val="decimal"/>
      <w:pStyle w:val="ListNumber"/>
      <w:lvlText w:val="(%1)"/>
      <w:lvlJc w:val="left"/>
      <w:pPr>
        <w:tabs>
          <w:tab w:val="num" w:pos="709"/>
        </w:tabs>
        <w:ind w:left="709" w:hanging="709"/>
      </w:pPr>
      <w:rPr>
        <w:rFonts w:cs="Times New Roman"/>
        <w:strike w:val="0"/>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607B242C"/>
    <w:multiLevelType w:val="multilevel"/>
    <w:tmpl w:val="F0E4E684"/>
    <w:lvl w:ilvl="0">
      <w:start w:val="1"/>
      <w:numFmt w:val="bullet"/>
      <w:pStyle w:val="HeadingIVX"/>
      <w:lvlText w:val=""/>
      <w:lvlJc w:val="left"/>
      <w:rPr>
        <w:rFonts w:ascii="Symbol" w:hAnsi="Symbol"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A12FA4"/>
    <w:multiLevelType w:val="multilevel"/>
    <w:tmpl w:val="428ECF3E"/>
    <w:lvl w:ilvl="0">
      <w:start w:val="1"/>
      <w:numFmt w:val="decimal"/>
      <w:pStyle w:val="DashEqu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056573C"/>
    <w:multiLevelType w:val="singleLevel"/>
    <w:tmpl w:val="DD8E481C"/>
    <w:name w:val="Bullet 4"/>
    <w:lvl w:ilvl="0">
      <w:start w:val="1"/>
      <w:numFmt w:val="bullet"/>
      <w:lvlRestart w:val="0"/>
      <w:pStyle w:val="Bullet4"/>
      <w:lvlText w:val=""/>
      <w:lvlJc w:val="left"/>
      <w:pPr>
        <w:tabs>
          <w:tab w:val="num" w:pos="3118"/>
        </w:tabs>
        <w:ind w:left="3118" w:hanging="567"/>
      </w:pPr>
      <w:rPr>
        <w:rFonts w:ascii="Symbol" w:hAnsi="Symbol" w:hint="default"/>
        <w:bdr w:val="none" w:sz="0" w:space="0" w:color="auto"/>
      </w:rPr>
    </w:lvl>
  </w:abstractNum>
  <w:abstractNum w:abstractNumId="26" w15:restartNumberingAfterBreak="0">
    <w:nsid w:val="711167E2"/>
    <w:multiLevelType w:val="multilevel"/>
    <w:tmpl w:val="C3843A7A"/>
    <w:lvl w:ilvl="0">
      <w:start w:val="1"/>
      <w:numFmt w:val="decimal"/>
      <w:pStyle w:val="DashEqual3"/>
      <w:lvlText w:val="%1."/>
      <w:lvlJc w:val="left"/>
      <w:pPr>
        <w:tabs>
          <w:tab w:val="num" w:pos="850"/>
        </w:tabs>
        <w:ind w:left="850" w:hanging="850"/>
      </w:pPr>
    </w:lvl>
    <w:lvl w:ilvl="1">
      <w:start w:val="1"/>
      <w:numFmt w:val="decimal"/>
      <w:pStyle w:val="ListNumberLevel2"/>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5EE0BEC"/>
    <w:multiLevelType w:val="singleLevel"/>
    <w:tmpl w:val="A3162760"/>
    <w:name w:val="Bullet 3"/>
    <w:lvl w:ilvl="0">
      <w:start w:val="1"/>
      <w:numFmt w:val="bullet"/>
      <w:lvlRestart w:val="0"/>
      <w:pStyle w:val="Bullet3"/>
      <w:lvlText w:val=""/>
      <w:lvlJc w:val="left"/>
      <w:pPr>
        <w:tabs>
          <w:tab w:val="num" w:pos="2551"/>
        </w:tabs>
        <w:ind w:left="2551" w:hanging="567"/>
      </w:pPr>
      <w:rPr>
        <w:rFonts w:ascii="Symbol" w:hAnsi="Symbol" w:hint="default"/>
        <w:bdr w:val="none" w:sz="0" w:space="0" w:color="auto"/>
      </w:rPr>
    </w:lvl>
  </w:abstractNum>
  <w:abstractNum w:abstractNumId="28" w15:restartNumberingAfterBreak="0">
    <w:nsid w:val="7C2B56E3"/>
    <w:multiLevelType w:val="singleLevel"/>
    <w:tmpl w:val="930CD47C"/>
    <w:name w:val="Tiret 4"/>
    <w:lvl w:ilvl="0">
      <w:start w:val="1"/>
      <w:numFmt w:val="bullet"/>
      <w:lvlRestart w:val="0"/>
      <w:pStyle w:val="Tiret4"/>
      <w:lvlText w:val="–"/>
      <w:lvlJc w:val="left"/>
      <w:pPr>
        <w:tabs>
          <w:tab w:val="num" w:pos="3118"/>
        </w:tabs>
        <w:ind w:left="3118" w:hanging="567"/>
      </w:pPr>
      <w:rPr>
        <w:bdr w:val="none" w:sz="0" w:space="0" w:color="auto"/>
      </w:rPr>
    </w:lvl>
  </w:abstractNum>
  <w:abstractNum w:abstractNumId="29" w15:restartNumberingAfterBreak="0">
    <w:nsid w:val="7D784AA0"/>
    <w:multiLevelType w:val="multilevel"/>
    <w:tmpl w:val="E7764E8A"/>
    <w:name w:val="Point"/>
    <w:lvl w:ilvl="0">
      <w:start w:val="1"/>
      <w:numFmt w:val="decimal"/>
      <w:lvlRestart w:val="0"/>
      <w:pStyle w:val="Point0number"/>
      <w:lvlText w:val="(%1)"/>
      <w:lvlJc w:val="left"/>
      <w:pPr>
        <w:tabs>
          <w:tab w:val="num" w:pos="850"/>
        </w:tabs>
        <w:ind w:left="850" w:hanging="850"/>
      </w:pPr>
      <w:rPr>
        <w:bdr w:val="none" w:sz="0" w:space="0" w:color="auto"/>
      </w:rPr>
    </w:lvl>
    <w:lvl w:ilvl="1">
      <w:start w:val="1"/>
      <w:numFmt w:val="lowerLetter"/>
      <w:pStyle w:val="Point0letter"/>
      <w:lvlText w:val="(%2)"/>
      <w:lvlJc w:val="left"/>
      <w:pPr>
        <w:tabs>
          <w:tab w:val="num" w:pos="850"/>
        </w:tabs>
        <w:ind w:left="850" w:hanging="850"/>
      </w:pPr>
      <w:rPr>
        <w:bdr w:val="none" w:sz="0" w:space="0" w:color="auto"/>
      </w:rPr>
    </w:lvl>
    <w:lvl w:ilvl="2">
      <w:start w:val="1"/>
      <w:numFmt w:val="decimal"/>
      <w:pStyle w:val="Point1number"/>
      <w:lvlText w:val="(%3)"/>
      <w:lvlJc w:val="left"/>
      <w:pPr>
        <w:tabs>
          <w:tab w:val="num" w:pos="1417"/>
        </w:tabs>
        <w:ind w:left="1417" w:hanging="567"/>
      </w:pPr>
      <w:rPr>
        <w:bdr w:val="none" w:sz="0" w:space="0" w:color="auto"/>
      </w:rPr>
    </w:lvl>
    <w:lvl w:ilvl="3">
      <w:start w:val="1"/>
      <w:numFmt w:val="lowerLetter"/>
      <w:pStyle w:val="Point1letter"/>
      <w:lvlText w:val="(%4)"/>
      <w:lvlJc w:val="left"/>
      <w:pPr>
        <w:tabs>
          <w:tab w:val="num" w:pos="1417"/>
        </w:tabs>
        <w:ind w:left="1417" w:hanging="567"/>
      </w:pPr>
      <w:rPr>
        <w:bdr w:val="none" w:sz="0" w:space="0" w:color="auto"/>
      </w:rPr>
    </w:lvl>
    <w:lvl w:ilvl="4">
      <w:start w:val="1"/>
      <w:numFmt w:val="decimal"/>
      <w:pStyle w:val="Point2number"/>
      <w:lvlText w:val="(%5)"/>
      <w:lvlJc w:val="left"/>
      <w:pPr>
        <w:tabs>
          <w:tab w:val="num" w:pos="1984"/>
        </w:tabs>
        <w:ind w:left="1984" w:hanging="567"/>
      </w:pPr>
      <w:rPr>
        <w:bdr w:val="none" w:sz="0" w:space="0" w:color="auto"/>
      </w:rPr>
    </w:lvl>
    <w:lvl w:ilvl="5">
      <w:start w:val="1"/>
      <w:numFmt w:val="lowerLetter"/>
      <w:pStyle w:val="Point2letter"/>
      <w:lvlText w:val="(%6)"/>
      <w:lvlJc w:val="left"/>
      <w:pPr>
        <w:tabs>
          <w:tab w:val="num" w:pos="1984"/>
        </w:tabs>
        <w:ind w:left="1984" w:hanging="567"/>
      </w:pPr>
      <w:rPr>
        <w:bdr w:val="none" w:sz="0" w:space="0" w:color="auto"/>
      </w:rPr>
    </w:lvl>
    <w:lvl w:ilvl="6">
      <w:start w:val="1"/>
      <w:numFmt w:val="decimal"/>
      <w:pStyle w:val="Point3number"/>
      <w:lvlText w:val="(%7)"/>
      <w:lvlJc w:val="left"/>
      <w:pPr>
        <w:tabs>
          <w:tab w:val="num" w:pos="2551"/>
        </w:tabs>
        <w:ind w:left="2551" w:hanging="567"/>
      </w:pPr>
      <w:rPr>
        <w:bdr w:val="none" w:sz="0" w:space="0" w:color="auto"/>
      </w:rPr>
    </w:lvl>
    <w:lvl w:ilvl="7">
      <w:start w:val="1"/>
      <w:numFmt w:val="lowerLetter"/>
      <w:pStyle w:val="Point3letter"/>
      <w:lvlText w:val="(%8)"/>
      <w:lvlJc w:val="left"/>
      <w:pPr>
        <w:tabs>
          <w:tab w:val="num" w:pos="2551"/>
        </w:tabs>
        <w:ind w:left="2551" w:hanging="567"/>
      </w:pPr>
      <w:rPr>
        <w:bdr w:val="none" w:sz="0" w:space="0" w:color="auto"/>
      </w:rPr>
    </w:lvl>
    <w:lvl w:ilvl="8">
      <w:start w:val="1"/>
      <w:numFmt w:val="lowerLetter"/>
      <w:pStyle w:val="Point4letter"/>
      <w:lvlText w:val="(%9)"/>
      <w:lvlJc w:val="left"/>
      <w:pPr>
        <w:tabs>
          <w:tab w:val="num" w:pos="3118"/>
        </w:tabs>
        <w:ind w:left="3118" w:hanging="567"/>
      </w:pPr>
      <w:rPr>
        <w:bdr w:val="none" w:sz="0" w:space="0" w:color="auto"/>
      </w:rPr>
    </w:lvl>
  </w:abstractNum>
  <w:num w:numId="1">
    <w:abstractNumId w:val="0"/>
  </w:num>
  <w:num w:numId="2">
    <w:abstractNumId w:val="2"/>
  </w:num>
  <w:num w:numId="3">
    <w:abstractNumId w:val="11"/>
  </w:num>
  <w:num w:numId="4">
    <w:abstractNumId w:val="6"/>
  </w:num>
  <w:num w:numId="5">
    <w:abstractNumId w:val="14"/>
  </w:num>
  <w:num w:numId="6">
    <w:abstractNumId w:val="17"/>
  </w:num>
  <w:num w:numId="7">
    <w:abstractNumId w:val="15"/>
  </w:num>
  <w:num w:numId="8">
    <w:abstractNumId w:val="28"/>
  </w:num>
  <w:num w:numId="9">
    <w:abstractNumId w:val="12"/>
  </w:num>
  <w:num w:numId="10">
    <w:abstractNumId w:val="8"/>
  </w:num>
  <w:num w:numId="11">
    <w:abstractNumId w:val="29"/>
  </w:num>
  <w:num w:numId="12">
    <w:abstractNumId w:val="10"/>
  </w:num>
  <w:num w:numId="13">
    <w:abstractNumId w:val="4"/>
  </w:num>
  <w:num w:numId="14">
    <w:abstractNumId w:val="3"/>
  </w:num>
  <w:num w:numId="15">
    <w:abstractNumId w:val="27"/>
  </w:num>
  <w:num w:numId="16">
    <w:abstractNumId w:val="25"/>
  </w:num>
  <w:num w:numId="17">
    <w:abstractNumId w:val="18"/>
  </w:num>
  <w:num w:numId="18">
    <w:abstractNumId w:val="5"/>
  </w:num>
  <w:num w:numId="19">
    <w:abstractNumId w:val="19"/>
  </w:num>
  <w:num w:numId="20">
    <w:abstractNumId w:val="20"/>
  </w:num>
  <w:num w:numId="21">
    <w:abstractNumId w:val="7"/>
  </w:num>
  <w:num w:numId="22">
    <w:abstractNumId w:val="16"/>
  </w:num>
  <w:num w:numId="23">
    <w:abstractNumId w:val="24"/>
  </w:num>
  <w:num w:numId="24">
    <w:abstractNumId w:val="22"/>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
  </w:num>
  <w:num w:numId="28">
    <w:abstractNumId w:val="9"/>
  </w:num>
  <w:num w:numId="29">
    <w:abstractNumId w:val="2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t;Model&gt;" w:val="TA_TC"/>
    <w:docVar w:name="Date" w:val="18/04/2023"/>
    <w:docVar w:name="DOCDT" w:val="18/04/2023"/>
    <w:docVar w:name="LastEditedSection" w:val=" 1"/>
    <w:docVar w:name="LVLMNU" w:val="1"/>
    <w:docVar w:name="Num-PE" w:val="695.825v01-00"/>
    <w:docVar w:name="strDocTypeID" w:val="TA_TC"/>
    <w:docVar w:name="strSubDir" w:val="A9-"/>
    <w:docVar w:name="TA_Type" w:val="TA_TC"/>
    <w:docVar w:name="Titre" w:val="приета на първо четене на 18 април 2023 г. с оглед на приемането на Регламент (ЕС) 2023/... на Европейския парламент и на Съвета за създаване на Социален фонд за климата и за изменение на Регламент (ЕС) 2021/1060 (EP-PE_TC1-COD(2021)0206)"/>
    <w:docVar w:name="Titre-Type" w:val="ПОЗИЦИЯ НА ЕВРОПЕЙСКИЯ ПАРЛАМЕНТ"/>
    <w:docVar w:name="TXTLANGUE" w:val="BG"/>
    <w:docVar w:name="TXTLANGUEMIN" w:val="bg"/>
    <w:docVar w:name="TXTNRCOD" w:val="0206"/>
    <w:docVar w:name="TXTNRPE" w:val="695.825v01-00"/>
    <w:docVar w:name="TXTPEorAP" w:val="PE"/>
    <w:docVar w:name="TXTREFSOURCE" w:val="EP-PE_TC1-COD(2021)0206"/>
    <w:docVar w:name="TXTROUTE" w:val="RR\A9-0157/2022BG.docx"/>
    <w:docVar w:name="TXTRULE" w:val="приета на първо четене на 18 април 2023 г. с оглед на приемането на Регламент (ЕС) 2023/... на Европейския парламент и на Съвета за създаване на Социален фонд за климата и за изменение на Регламент (ЕС) 2021/1060"/>
    <w:docVar w:name="TXTRULE2" w:val="!ZZRULE2!"/>
    <w:docVar w:name="TXTRULE3" w:val="!ZZRULE3!"/>
    <w:docVar w:name="TXTYEAR" w:val="2021"/>
  </w:docVars>
  <w:rsids>
    <w:rsidRoot w:val="00204331"/>
    <w:rsid w:val="00027017"/>
    <w:rsid w:val="00043BA5"/>
    <w:rsid w:val="000474B0"/>
    <w:rsid w:val="000502A5"/>
    <w:rsid w:val="000756C8"/>
    <w:rsid w:val="0009459A"/>
    <w:rsid w:val="000C620D"/>
    <w:rsid w:val="000E5181"/>
    <w:rsid w:val="000F2FE2"/>
    <w:rsid w:val="00106A2A"/>
    <w:rsid w:val="00123692"/>
    <w:rsid w:val="001502E1"/>
    <w:rsid w:val="00152E08"/>
    <w:rsid w:val="001A7617"/>
    <w:rsid w:val="00204331"/>
    <w:rsid w:val="002215E8"/>
    <w:rsid w:val="00243603"/>
    <w:rsid w:val="00253BB0"/>
    <w:rsid w:val="002611DA"/>
    <w:rsid w:val="002747B0"/>
    <w:rsid w:val="00287114"/>
    <w:rsid w:val="002A2A21"/>
    <w:rsid w:val="002B02A0"/>
    <w:rsid w:val="002E0D12"/>
    <w:rsid w:val="002E103F"/>
    <w:rsid w:val="003058E0"/>
    <w:rsid w:val="00320173"/>
    <w:rsid w:val="0032447B"/>
    <w:rsid w:val="00330FEA"/>
    <w:rsid w:val="00342886"/>
    <w:rsid w:val="003440CF"/>
    <w:rsid w:val="00376230"/>
    <w:rsid w:val="003813A9"/>
    <w:rsid w:val="003953F6"/>
    <w:rsid w:val="00395B64"/>
    <w:rsid w:val="003F247C"/>
    <w:rsid w:val="00407D75"/>
    <w:rsid w:val="004379F2"/>
    <w:rsid w:val="00482700"/>
    <w:rsid w:val="00494D50"/>
    <w:rsid w:val="00523372"/>
    <w:rsid w:val="00580C51"/>
    <w:rsid w:val="005A1111"/>
    <w:rsid w:val="005C4BEC"/>
    <w:rsid w:val="005C637F"/>
    <w:rsid w:val="005E195A"/>
    <w:rsid w:val="005F6117"/>
    <w:rsid w:val="00611C94"/>
    <w:rsid w:val="00612181"/>
    <w:rsid w:val="00624C56"/>
    <w:rsid w:val="00625E53"/>
    <w:rsid w:val="006305F0"/>
    <w:rsid w:val="0065496C"/>
    <w:rsid w:val="006A5C48"/>
    <w:rsid w:val="006D2788"/>
    <w:rsid w:val="006E3857"/>
    <w:rsid w:val="006F4902"/>
    <w:rsid w:val="00733242"/>
    <w:rsid w:val="007567DF"/>
    <w:rsid w:val="007C5179"/>
    <w:rsid w:val="007D1D58"/>
    <w:rsid w:val="007D769C"/>
    <w:rsid w:val="00821B14"/>
    <w:rsid w:val="00830287"/>
    <w:rsid w:val="00846F4F"/>
    <w:rsid w:val="008639EF"/>
    <w:rsid w:val="008B34F2"/>
    <w:rsid w:val="008C5553"/>
    <w:rsid w:val="008D3F7E"/>
    <w:rsid w:val="008D61B8"/>
    <w:rsid w:val="008D715A"/>
    <w:rsid w:val="00910A8D"/>
    <w:rsid w:val="0096592A"/>
    <w:rsid w:val="009844B0"/>
    <w:rsid w:val="009B5D8A"/>
    <w:rsid w:val="00A04F8B"/>
    <w:rsid w:val="00A20422"/>
    <w:rsid w:val="00A3406C"/>
    <w:rsid w:val="00A51CB9"/>
    <w:rsid w:val="00A51D8B"/>
    <w:rsid w:val="00AA1411"/>
    <w:rsid w:val="00AA2401"/>
    <w:rsid w:val="00AA4458"/>
    <w:rsid w:val="00AC3AA6"/>
    <w:rsid w:val="00B1598D"/>
    <w:rsid w:val="00B3321B"/>
    <w:rsid w:val="00B854C4"/>
    <w:rsid w:val="00B86D85"/>
    <w:rsid w:val="00B94A60"/>
    <w:rsid w:val="00BE0112"/>
    <w:rsid w:val="00BE4A46"/>
    <w:rsid w:val="00BE4AC1"/>
    <w:rsid w:val="00C00125"/>
    <w:rsid w:val="00C52FA5"/>
    <w:rsid w:val="00C539FA"/>
    <w:rsid w:val="00CC358E"/>
    <w:rsid w:val="00D06995"/>
    <w:rsid w:val="00D12572"/>
    <w:rsid w:val="00D217F0"/>
    <w:rsid w:val="00D51D39"/>
    <w:rsid w:val="00D5737D"/>
    <w:rsid w:val="00D65CB7"/>
    <w:rsid w:val="00DC49CB"/>
    <w:rsid w:val="00DD1790"/>
    <w:rsid w:val="00DD59A2"/>
    <w:rsid w:val="00DE1919"/>
    <w:rsid w:val="00E0132F"/>
    <w:rsid w:val="00E37826"/>
    <w:rsid w:val="00E75238"/>
    <w:rsid w:val="00E91480"/>
    <w:rsid w:val="00ED7C88"/>
    <w:rsid w:val="00EF4EBC"/>
    <w:rsid w:val="00F82DEC"/>
    <w:rsid w:val="00F9322F"/>
    <w:rsid w:val="00F946C8"/>
    <w:rsid w:val="00F97088"/>
    <w:rsid w:val="00FA48DA"/>
    <w:rsid w:val="00FA7A43"/>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D5A99B"/>
  <w15:chartTrackingRefBased/>
  <w15:docId w15:val="{90488FFC-2B57-4D0F-BA65-1C830380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uiPriority="39"/>
    <w:lsdException w:name="toc 2" w:uiPriority="39"/>
    <w:lsdException w:name="toc 3" w:uiPriority="3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end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995"/>
    <w:pPr>
      <w:widowControl w:val="0"/>
    </w:pPr>
    <w:rPr>
      <w:sz w:val="24"/>
      <w:szCs w:val="24"/>
      <w:lang w:val="bg-BG"/>
    </w:rPr>
  </w:style>
  <w:style w:type="paragraph" w:styleId="Heading1">
    <w:name w:val="heading 1"/>
    <w:basedOn w:val="Normal"/>
    <w:next w:val="Normal"/>
    <w:link w:val="Heading1Char"/>
    <w:uiPriority w:val="9"/>
    <w:qFormat/>
    <w:rsid w:val="00E378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rsid w:val="00106A2A"/>
    <w:pPr>
      <w:keepNext/>
      <w:widowControl/>
      <w:numPr>
        <w:ilvl w:val="1"/>
        <w:numId w:val="2"/>
      </w:numPr>
      <w:spacing w:before="240" w:after="60"/>
      <w:outlineLvl w:val="1"/>
    </w:pPr>
    <w:rPr>
      <w:szCs w:val="20"/>
      <w:lang w:val="fr-FR" w:eastAsia="fr-FR"/>
    </w:rPr>
  </w:style>
  <w:style w:type="paragraph" w:styleId="Heading3">
    <w:name w:val="heading 3"/>
    <w:basedOn w:val="Normal"/>
    <w:next w:val="Normal"/>
    <w:link w:val="Heading3Char"/>
    <w:uiPriority w:val="9"/>
    <w:semiHidden/>
    <w:qFormat/>
    <w:rsid w:val="00106A2A"/>
    <w:pPr>
      <w:keepNext/>
      <w:widowControl/>
      <w:numPr>
        <w:ilvl w:val="2"/>
        <w:numId w:val="2"/>
      </w:numPr>
      <w:spacing w:before="240" w:after="60"/>
      <w:outlineLvl w:val="2"/>
    </w:pPr>
    <w:rPr>
      <w:rFonts w:ascii="Arial" w:hAnsi="Arial"/>
      <w:szCs w:val="20"/>
      <w:lang w:val="fr-FR" w:eastAsia="fr-FR"/>
    </w:rPr>
  </w:style>
  <w:style w:type="paragraph" w:styleId="Heading4">
    <w:name w:val="heading 4"/>
    <w:basedOn w:val="Normal"/>
    <w:next w:val="Normal"/>
    <w:link w:val="Heading4Char"/>
    <w:uiPriority w:val="9"/>
    <w:semiHidden/>
    <w:qFormat/>
    <w:rsid w:val="00106A2A"/>
    <w:pPr>
      <w:keepNext/>
      <w:widowControl/>
      <w:numPr>
        <w:ilvl w:val="3"/>
        <w:numId w:val="2"/>
      </w:numPr>
      <w:spacing w:before="240" w:after="60"/>
      <w:outlineLvl w:val="3"/>
    </w:pPr>
    <w:rPr>
      <w:szCs w:val="20"/>
      <w:lang w:val="en-US" w:eastAsia="fr-FR"/>
    </w:rPr>
  </w:style>
  <w:style w:type="paragraph" w:styleId="Heading5">
    <w:name w:val="heading 5"/>
    <w:basedOn w:val="Normal"/>
    <w:next w:val="Normal"/>
    <w:link w:val="Heading5Char"/>
    <w:uiPriority w:val="9"/>
    <w:semiHidden/>
    <w:qFormat/>
    <w:rsid w:val="00106A2A"/>
    <w:pPr>
      <w:widowControl/>
      <w:numPr>
        <w:ilvl w:val="4"/>
        <w:numId w:val="3"/>
      </w:numPr>
      <w:spacing w:before="240" w:after="60"/>
      <w:outlineLvl w:val="4"/>
    </w:pPr>
    <w:rPr>
      <w:szCs w:val="20"/>
      <w:lang w:val="en-US" w:eastAsia="fr-FR"/>
    </w:rPr>
  </w:style>
  <w:style w:type="paragraph" w:styleId="Heading6">
    <w:name w:val="heading 6"/>
    <w:basedOn w:val="Normal"/>
    <w:next w:val="Normal"/>
    <w:link w:val="Heading6Char"/>
    <w:uiPriority w:val="9"/>
    <w:semiHidden/>
    <w:qFormat/>
    <w:rsid w:val="00106A2A"/>
    <w:pPr>
      <w:spacing w:before="240" w:after="60"/>
      <w:outlineLvl w:val="5"/>
    </w:pPr>
    <w:rPr>
      <w:i/>
      <w:sz w:val="22"/>
      <w:szCs w:val="20"/>
    </w:rPr>
  </w:style>
  <w:style w:type="paragraph" w:styleId="Heading7">
    <w:name w:val="heading 7"/>
    <w:basedOn w:val="Normal"/>
    <w:next w:val="Normal"/>
    <w:link w:val="Heading7Char"/>
    <w:uiPriority w:val="9"/>
    <w:semiHidden/>
    <w:qFormat/>
    <w:rsid w:val="00106A2A"/>
    <w:pPr>
      <w:spacing w:before="240" w:after="60"/>
      <w:outlineLvl w:val="6"/>
    </w:pPr>
    <w:rPr>
      <w:rFonts w:ascii="Arial" w:hAnsi="Arial"/>
      <w:szCs w:val="20"/>
    </w:rPr>
  </w:style>
  <w:style w:type="paragraph" w:styleId="Heading8">
    <w:name w:val="heading 8"/>
    <w:basedOn w:val="Normal"/>
    <w:next w:val="Normal"/>
    <w:link w:val="Heading8Char"/>
    <w:uiPriority w:val="9"/>
    <w:semiHidden/>
    <w:qFormat/>
    <w:rsid w:val="00106A2A"/>
    <w:pPr>
      <w:spacing w:before="240" w:after="60"/>
      <w:outlineLvl w:val="7"/>
    </w:pPr>
    <w:rPr>
      <w:rFonts w:ascii="Arial" w:hAnsi="Arial"/>
      <w:i/>
      <w:szCs w:val="20"/>
    </w:rPr>
  </w:style>
  <w:style w:type="paragraph" w:styleId="Heading9">
    <w:name w:val="heading 9"/>
    <w:basedOn w:val="Normal"/>
    <w:next w:val="Normal"/>
    <w:link w:val="Heading9Char"/>
    <w:uiPriority w:val="9"/>
    <w:semiHidden/>
    <w:qFormat/>
    <w:rsid w:val="00106A2A"/>
    <w:pPr>
      <w:spacing w:before="240" w:after="60"/>
      <w:outlineLvl w:val="8"/>
    </w:pPr>
    <w:rPr>
      <w:rFonts w:ascii="Arial" w:hAnsi="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F6117"/>
    <w:pPr>
      <w:tabs>
        <w:tab w:val="center" w:pos="4513"/>
        <w:tab w:val="right" w:pos="9026"/>
      </w:tabs>
    </w:pPr>
  </w:style>
  <w:style w:type="paragraph" w:styleId="BodyTextIndent">
    <w:name w:val="Body Text Indent"/>
    <w:basedOn w:val="Normal"/>
    <w:semiHidden/>
    <w:rsid w:val="00BE4AC1"/>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ind w:left="1701"/>
    </w:pPr>
    <w:rPr>
      <w:rFonts w:ascii="Arial" w:hAnsi="Arial"/>
      <w:b/>
      <w:sz w:val="48"/>
      <w:szCs w:val="20"/>
      <w:lang w:val="fr-FR"/>
    </w:rPr>
  </w:style>
  <w:style w:type="character" w:customStyle="1" w:styleId="HideTWBExt">
    <w:name w:val="HideTWBExt"/>
    <w:rsid w:val="00BE4AC1"/>
    <w:rPr>
      <w:rFonts w:ascii="Arial" w:hAnsi="Arial"/>
      <w:noProof/>
      <w:vanish/>
      <w:color w:val="000080"/>
      <w:sz w:val="20"/>
    </w:rPr>
  </w:style>
  <w:style w:type="character" w:customStyle="1" w:styleId="FooterChar">
    <w:name w:val="Footer Char"/>
    <w:basedOn w:val="DefaultParagraphFont"/>
    <w:link w:val="Footer"/>
    <w:uiPriority w:val="99"/>
    <w:rsid w:val="00D06995"/>
    <w:rPr>
      <w:sz w:val="24"/>
      <w:szCs w:val="24"/>
    </w:rPr>
  </w:style>
  <w:style w:type="table" w:styleId="TableGrid">
    <w:name w:val="Table Grid"/>
    <w:basedOn w:val="TableNormal"/>
    <w:rsid w:val="00BE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CC358E"/>
    <w:pPr>
      <w:jc w:val="center"/>
    </w:pPr>
    <w:rPr>
      <w:rFonts w:ascii="Arial" w:hAnsi="Arial" w:cs="Arial"/>
      <w:i/>
      <w:sz w:val="22"/>
      <w:szCs w:val="22"/>
    </w:rPr>
  </w:style>
  <w:style w:type="paragraph" w:customStyle="1" w:styleId="LineTop">
    <w:name w:val="LineTop"/>
    <w:basedOn w:val="Normal"/>
    <w:next w:val="Normal"/>
    <w:rsid w:val="00BE4AC1"/>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330FEA"/>
    <w:pPr>
      <w:pBdr>
        <w:bottom w:val="single" w:sz="4" w:space="1" w:color="auto"/>
      </w:pBdr>
      <w:spacing w:after="240"/>
      <w:jc w:val="center"/>
    </w:pPr>
    <w:rPr>
      <w:rFonts w:ascii="Arial" w:hAnsi="Arial" w:cs="Arial"/>
      <w:sz w:val="16"/>
      <w:szCs w:val="16"/>
    </w:rPr>
  </w:style>
  <w:style w:type="character" w:customStyle="1" w:styleId="HideTWBInt">
    <w:name w:val="HideTWBInt"/>
    <w:rsid w:val="00D06995"/>
    <w:rPr>
      <w:rFonts w:ascii="Arial" w:hAnsi="Arial" w:cs="Arial"/>
      <w:vanish/>
      <w:color w:val="808080"/>
      <w:sz w:val="20"/>
    </w:rPr>
  </w:style>
  <w:style w:type="paragraph" w:customStyle="1" w:styleId="CoverDocType">
    <w:name w:val="CoverDocType"/>
    <w:basedOn w:val="Normal"/>
    <w:rsid w:val="00BE0112"/>
    <w:pPr>
      <w:ind w:left="1418"/>
    </w:pPr>
    <w:rPr>
      <w:rFonts w:ascii="Arial" w:hAnsi="Arial"/>
      <w:b/>
      <w:bCs/>
      <w:sz w:val="48"/>
    </w:rPr>
  </w:style>
  <w:style w:type="paragraph" w:customStyle="1" w:styleId="EPFooter2">
    <w:name w:val="EPFooter2"/>
    <w:basedOn w:val="Normal"/>
    <w:next w:val="Normal"/>
    <w:rsid w:val="00CC358E"/>
    <w:pPr>
      <w:tabs>
        <w:tab w:val="center" w:pos="4535"/>
        <w:tab w:val="right" w:pos="9921"/>
      </w:tabs>
      <w:ind w:left="-850" w:right="-850"/>
    </w:pPr>
    <w:rPr>
      <w:rFonts w:ascii="Arial" w:hAnsi="Arial" w:cs="Arial"/>
      <w:b/>
      <w:sz w:val="48"/>
      <w:szCs w:val="20"/>
    </w:rPr>
  </w:style>
  <w:style w:type="character" w:styleId="PageNumber">
    <w:name w:val="page number"/>
    <w:basedOn w:val="DefaultParagraphFont"/>
    <w:rsid w:val="00BE4AC1"/>
  </w:style>
  <w:style w:type="paragraph" w:styleId="Header">
    <w:name w:val="header"/>
    <w:basedOn w:val="Normal"/>
    <w:link w:val="HeaderChar"/>
    <w:uiPriority w:val="99"/>
    <w:rsid w:val="00A3406C"/>
    <w:pPr>
      <w:tabs>
        <w:tab w:val="center" w:pos="4513"/>
        <w:tab w:val="right" w:pos="9026"/>
      </w:tabs>
    </w:pPr>
  </w:style>
  <w:style w:type="character" w:customStyle="1" w:styleId="HeaderChar">
    <w:name w:val="Header Char"/>
    <w:link w:val="Header"/>
    <w:uiPriority w:val="99"/>
    <w:rsid w:val="00BE0112"/>
    <w:rPr>
      <w:sz w:val="24"/>
      <w:szCs w:val="24"/>
    </w:rPr>
  </w:style>
  <w:style w:type="paragraph" w:styleId="EndnoteText">
    <w:name w:val="endnote text"/>
    <w:basedOn w:val="Normal"/>
    <w:link w:val="EndnoteTextChar"/>
    <w:rsid w:val="006305F0"/>
    <w:rPr>
      <w:sz w:val="20"/>
      <w:szCs w:val="20"/>
    </w:rPr>
  </w:style>
  <w:style w:type="character" w:customStyle="1" w:styleId="EndnoteTextChar">
    <w:name w:val="Endnote Text Char"/>
    <w:link w:val="EndnoteText"/>
    <w:uiPriority w:val="99"/>
    <w:semiHidden/>
    <w:rsid w:val="00BE0112"/>
  </w:style>
  <w:style w:type="character" w:styleId="EndnoteReference">
    <w:name w:val="endnote reference"/>
    <w:uiPriority w:val="99"/>
    <w:rsid w:val="006305F0"/>
    <w:rPr>
      <w:vertAlign w:val="superscript"/>
    </w:rPr>
  </w:style>
  <w:style w:type="paragraph" w:styleId="FootnoteText">
    <w:name w:val="footnote text"/>
    <w:aliases w:val="Footnote Text Char1,Footnote Text Char Char,Footnote Text Char1 Char Char,Footnote Text Char Char Char Char,Footnote Text Char Char Char Char Char Char Char Char,Footnote Text Char Char1,Schriftart: 9 pt,f"/>
    <w:basedOn w:val="Normal"/>
    <w:link w:val="FootnoteTextChar"/>
    <w:uiPriority w:val="99"/>
    <w:rsid w:val="006305F0"/>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 Char Char Char Char Char Char Char Char,Footnote Text Char Char1 Char,f Char"/>
    <w:link w:val="FootnoteText"/>
    <w:uiPriority w:val="99"/>
    <w:qFormat/>
    <w:rsid w:val="005C637F"/>
  </w:style>
  <w:style w:type="character" w:styleId="FootnoteReference">
    <w:name w:val="footnote reference"/>
    <w:uiPriority w:val="99"/>
    <w:rsid w:val="006305F0"/>
    <w:rPr>
      <w:vertAlign w:val="superscript"/>
    </w:rPr>
  </w:style>
  <w:style w:type="paragraph" w:customStyle="1" w:styleId="EPName">
    <w:name w:val="EPName"/>
    <w:basedOn w:val="Normal"/>
    <w:rsid w:val="00580C51"/>
    <w:pPr>
      <w:spacing w:before="80" w:after="80"/>
    </w:pPr>
    <w:rPr>
      <w:rFonts w:ascii="Arial Narrow" w:hAnsi="Arial Narrow" w:cs="Arial"/>
      <w:b/>
      <w:sz w:val="32"/>
      <w:szCs w:val="22"/>
    </w:rPr>
  </w:style>
  <w:style w:type="paragraph" w:customStyle="1" w:styleId="EPTerm">
    <w:name w:val="EPTerm"/>
    <w:basedOn w:val="Normal"/>
    <w:next w:val="Normal"/>
    <w:rsid w:val="00580C51"/>
    <w:pPr>
      <w:spacing w:after="80"/>
    </w:pPr>
    <w:rPr>
      <w:rFonts w:ascii="Arial" w:hAnsi="Arial" w:cs="Arial"/>
      <w:sz w:val="20"/>
      <w:szCs w:val="22"/>
    </w:rPr>
  </w:style>
  <w:style w:type="paragraph" w:customStyle="1" w:styleId="EPLogo">
    <w:name w:val="EPLogo"/>
    <w:basedOn w:val="Normal"/>
    <w:qFormat/>
    <w:rsid w:val="00580C51"/>
    <w:pPr>
      <w:jc w:val="right"/>
    </w:pPr>
    <w:rPr>
      <w:szCs w:val="20"/>
    </w:rPr>
  </w:style>
  <w:style w:type="paragraph" w:customStyle="1" w:styleId="CoverDocType24a">
    <w:name w:val="CoverDocType24a"/>
    <w:basedOn w:val="Normal"/>
    <w:rsid w:val="00BE0112"/>
    <w:pPr>
      <w:spacing w:after="480"/>
      <w:ind w:left="1418"/>
    </w:pPr>
    <w:rPr>
      <w:rFonts w:ascii="Arial" w:hAnsi="Arial"/>
      <w:b/>
      <w:bCs/>
      <w:sz w:val="48"/>
    </w:rPr>
  </w:style>
  <w:style w:type="paragraph" w:customStyle="1" w:styleId="CoverNormal">
    <w:name w:val="CoverNormal"/>
    <w:basedOn w:val="Normal"/>
    <w:rsid w:val="00BE0112"/>
    <w:pPr>
      <w:ind w:left="1418"/>
    </w:pPr>
  </w:style>
  <w:style w:type="paragraph" w:customStyle="1" w:styleId="EPFooter">
    <w:name w:val="EPFooter"/>
    <w:basedOn w:val="Normal"/>
    <w:rsid w:val="005F6117"/>
    <w:pPr>
      <w:tabs>
        <w:tab w:val="center" w:pos="4535"/>
        <w:tab w:val="right" w:pos="9071"/>
      </w:tabs>
      <w:spacing w:before="240" w:after="240"/>
    </w:pPr>
    <w:rPr>
      <w:sz w:val="22"/>
    </w:rPr>
  </w:style>
  <w:style w:type="character" w:customStyle="1" w:styleId="Heading1Char">
    <w:name w:val="Heading 1 Char"/>
    <w:basedOn w:val="DefaultParagraphFont"/>
    <w:link w:val="Heading1"/>
    <w:uiPriority w:val="9"/>
    <w:rsid w:val="00E37826"/>
    <w:rPr>
      <w:rFonts w:asciiTheme="majorHAnsi" w:eastAsiaTheme="majorEastAsia" w:hAnsiTheme="majorHAnsi" w:cstheme="majorBidi"/>
      <w:color w:val="2E74B5" w:themeColor="accent1" w:themeShade="BF"/>
      <w:sz w:val="32"/>
      <w:szCs w:val="32"/>
    </w:rPr>
  </w:style>
  <w:style w:type="paragraph" w:styleId="TOCHeading">
    <w:name w:val="TOC Heading"/>
    <w:basedOn w:val="Normal"/>
    <w:next w:val="Normal"/>
    <w:uiPriority w:val="39"/>
    <w:unhideWhenUsed/>
    <w:qFormat/>
    <w:rsid w:val="00E37826"/>
    <w:pPr>
      <w:spacing w:after="240"/>
    </w:pPr>
  </w:style>
  <w:style w:type="paragraph" w:customStyle="1" w:styleId="CoverReference">
    <w:name w:val="CoverReference"/>
    <w:basedOn w:val="Normal"/>
    <w:rsid w:val="00D06995"/>
    <w:pPr>
      <w:spacing w:before="1080"/>
      <w:jc w:val="right"/>
    </w:pPr>
    <w:rPr>
      <w:rFonts w:ascii="Arial" w:hAnsi="Arial" w:cs="Arial"/>
      <w:b/>
      <w:szCs w:val="20"/>
    </w:rPr>
  </w:style>
  <w:style w:type="paragraph" w:customStyle="1" w:styleId="CoverDate">
    <w:name w:val="CoverDate"/>
    <w:basedOn w:val="Normal"/>
    <w:rsid w:val="00D06995"/>
    <w:pPr>
      <w:spacing w:before="240" w:after="1200"/>
    </w:pPr>
    <w:rPr>
      <w:szCs w:val="20"/>
    </w:rPr>
  </w:style>
  <w:style w:type="paragraph" w:customStyle="1" w:styleId="HeadingCenter24a">
    <w:name w:val="HeadingCenter24a"/>
    <w:basedOn w:val="Normal"/>
    <w:rsid w:val="008D715A"/>
    <w:pPr>
      <w:spacing w:after="480"/>
      <w:jc w:val="center"/>
    </w:pPr>
    <w:rPr>
      <w:b/>
    </w:rPr>
  </w:style>
  <w:style w:type="character" w:customStyle="1" w:styleId="Heading2Char">
    <w:name w:val="Heading 2 Char"/>
    <w:basedOn w:val="DefaultParagraphFont"/>
    <w:link w:val="Heading2"/>
    <w:uiPriority w:val="9"/>
    <w:semiHidden/>
    <w:rsid w:val="00106A2A"/>
    <w:rPr>
      <w:sz w:val="24"/>
      <w:lang w:val="fr-FR" w:eastAsia="fr-FR"/>
    </w:rPr>
  </w:style>
  <w:style w:type="character" w:customStyle="1" w:styleId="Heading3Char">
    <w:name w:val="Heading 3 Char"/>
    <w:basedOn w:val="DefaultParagraphFont"/>
    <w:link w:val="Heading3"/>
    <w:uiPriority w:val="9"/>
    <w:semiHidden/>
    <w:rsid w:val="00106A2A"/>
    <w:rPr>
      <w:rFonts w:ascii="Arial" w:hAnsi="Arial"/>
      <w:sz w:val="24"/>
      <w:lang w:val="fr-FR" w:eastAsia="fr-FR"/>
    </w:rPr>
  </w:style>
  <w:style w:type="character" w:customStyle="1" w:styleId="Heading4Char">
    <w:name w:val="Heading 4 Char"/>
    <w:basedOn w:val="DefaultParagraphFont"/>
    <w:link w:val="Heading4"/>
    <w:uiPriority w:val="9"/>
    <w:semiHidden/>
    <w:rsid w:val="00106A2A"/>
    <w:rPr>
      <w:sz w:val="24"/>
      <w:lang w:val="en-US" w:eastAsia="fr-FR"/>
    </w:rPr>
  </w:style>
  <w:style w:type="character" w:customStyle="1" w:styleId="Heading5Char">
    <w:name w:val="Heading 5 Char"/>
    <w:basedOn w:val="DefaultParagraphFont"/>
    <w:link w:val="Heading5"/>
    <w:uiPriority w:val="9"/>
    <w:semiHidden/>
    <w:rsid w:val="00106A2A"/>
    <w:rPr>
      <w:sz w:val="24"/>
      <w:lang w:val="en-US" w:eastAsia="fr-FR"/>
    </w:rPr>
  </w:style>
  <w:style w:type="character" w:customStyle="1" w:styleId="Heading6Char">
    <w:name w:val="Heading 6 Char"/>
    <w:basedOn w:val="DefaultParagraphFont"/>
    <w:link w:val="Heading6"/>
    <w:uiPriority w:val="9"/>
    <w:semiHidden/>
    <w:rsid w:val="00106A2A"/>
    <w:rPr>
      <w:i/>
      <w:sz w:val="22"/>
      <w:lang w:val="bg-BG"/>
    </w:rPr>
  </w:style>
  <w:style w:type="character" w:customStyle="1" w:styleId="Heading7Char">
    <w:name w:val="Heading 7 Char"/>
    <w:basedOn w:val="DefaultParagraphFont"/>
    <w:link w:val="Heading7"/>
    <w:uiPriority w:val="9"/>
    <w:semiHidden/>
    <w:rsid w:val="00106A2A"/>
    <w:rPr>
      <w:rFonts w:ascii="Arial" w:hAnsi="Arial"/>
      <w:sz w:val="24"/>
      <w:lang w:val="bg-BG"/>
    </w:rPr>
  </w:style>
  <w:style w:type="character" w:customStyle="1" w:styleId="Heading8Char">
    <w:name w:val="Heading 8 Char"/>
    <w:basedOn w:val="DefaultParagraphFont"/>
    <w:link w:val="Heading8"/>
    <w:uiPriority w:val="9"/>
    <w:semiHidden/>
    <w:rsid w:val="00106A2A"/>
    <w:rPr>
      <w:rFonts w:ascii="Arial" w:hAnsi="Arial"/>
      <w:i/>
      <w:sz w:val="24"/>
      <w:lang w:val="bg-BG"/>
    </w:rPr>
  </w:style>
  <w:style w:type="character" w:customStyle="1" w:styleId="Heading9Char">
    <w:name w:val="Heading 9 Char"/>
    <w:basedOn w:val="DefaultParagraphFont"/>
    <w:link w:val="Heading9"/>
    <w:uiPriority w:val="9"/>
    <w:semiHidden/>
    <w:rsid w:val="00106A2A"/>
    <w:rPr>
      <w:rFonts w:ascii="Arial" w:hAnsi="Arial"/>
      <w:b/>
      <w:i/>
      <w:sz w:val="18"/>
      <w:lang w:val="bg-BG"/>
    </w:rPr>
  </w:style>
  <w:style w:type="numbering" w:customStyle="1" w:styleId="NoList1">
    <w:name w:val="No List1"/>
    <w:next w:val="NoList"/>
    <w:uiPriority w:val="99"/>
    <w:semiHidden/>
    <w:unhideWhenUsed/>
    <w:rsid w:val="00106A2A"/>
  </w:style>
  <w:style w:type="paragraph" w:styleId="TOC1">
    <w:name w:val="toc 1"/>
    <w:basedOn w:val="Normal"/>
    <w:next w:val="Normal"/>
    <w:autoRedefine/>
    <w:uiPriority w:val="39"/>
    <w:rsid w:val="00106A2A"/>
    <w:pPr>
      <w:keepNext/>
      <w:keepLines/>
      <w:widowControl/>
      <w:spacing w:before="200"/>
    </w:pPr>
    <w:rPr>
      <w:b/>
      <w:noProof/>
      <w:szCs w:val="20"/>
      <w:lang w:val="fr-FR" w:eastAsia="fr-FR"/>
    </w:rPr>
  </w:style>
  <w:style w:type="paragraph" w:customStyle="1" w:styleId="EPBodyTA2">
    <w:name w:val="EPBodyTA2"/>
    <w:basedOn w:val="Normal"/>
    <w:rsid w:val="00106A2A"/>
    <w:pPr>
      <w:jc w:val="center"/>
    </w:pPr>
    <w:rPr>
      <w:rFonts w:ascii="Arial" w:hAnsi="Arial"/>
      <w:bCs/>
      <w:i/>
      <w:sz w:val="20"/>
      <w:szCs w:val="20"/>
    </w:rPr>
  </w:style>
  <w:style w:type="paragraph" w:customStyle="1" w:styleId="EPBodyTA1">
    <w:name w:val="EPBodyTA1"/>
    <w:basedOn w:val="Normal"/>
    <w:rsid w:val="00106A2A"/>
    <w:pPr>
      <w:jc w:val="center"/>
    </w:pPr>
    <w:rPr>
      <w:rFonts w:ascii="Arial" w:hAnsi="Arial" w:cs="Arial"/>
      <w:b/>
      <w:sz w:val="22"/>
      <w:szCs w:val="22"/>
    </w:rPr>
  </w:style>
  <w:style w:type="paragraph" w:customStyle="1" w:styleId="ATHeading1">
    <w:name w:val="AT Heading 1"/>
    <w:basedOn w:val="Normal"/>
    <w:next w:val="Normal"/>
    <w:rsid w:val="00106A2A"/>
    <w:pPr>
      <w:keepNext/>
      <w:keepLines/>
      <w:widowControl/>
      <w:spacing w:before="480" w:after="120"/>
      <w:outlineLvl w:val="0"/>
    </w:pPr>
    <w:rPr>
      <w:b/>
      <w:sz w:val="28"/>
      <w:szCs w:val="20"/>
      <w:lang w:eastAsia="fr-FR"/>
    </w:rPr>
  </w:style>
  <w:style w:type="paragraph" w:customStyle="1" w:styleId="ATHeading2">
    <w:name w:val="AT Heading 2"/>
    <w:basedOn w:val="Normal"/>
    <w:next w:val="Normal"/>
    <w:rsid w:val="00106A2A"/>
    <w:pPr>
      <w:widowControl/>
      <w:spacing w:before="120" w:after="120"/>
      <w:outlineLvl w:val="1"/>
    </w:pPr>
    <w:rPr>
      <w:b/>
      <w:sz w:val="28"/>
      <w:szCs w:val="20"/>
      <w:lang w:eastAsia="fr-FR"/>
    </w:rPr>
  </w:style>
  <w:style w:type="paragraph" w:customStyle="1" w:styleId="ATHeading3">
    <w:name w:val="AT Heading 3"/>
    <w:basedOn w:val="Normal"/>
    <w:next w:val="Normal"/>
    <w:rsid w:val="00106A2A"/>
    <w:pPr>
      <w:keepNext/>
      <w:keepLines/>
      <w:widowControl/>
      <w:spacing w:before="120" w:after="120"/>
      <w:outlineLvl w:val="2"/>
    </w:pPr>
    <w:rPr>
      <w:b/>
      <w:szCs w:val="20"/>
      <w:lang w:eastAsia="fr-FR"/>
    </w:rPr>
  </w:style>
  <w:style w:type="paragraph" w:customStyle="1" w:styleId="ATHeadingMotiv">
    <w:name w:val="AT Heading Motiv"/>
    <w:basedOn w:val="Normal"/>
    <w:next w:val="Normal"/>
    <w:rsid w:val="00106A2A"/>
    <w:pPr>
      <w:keepNext/>
      <w:widowControl/>
      <w:spacing w:before="60" w:after="60"/>
      <w:jc w:val="center"/>
    </w:pPr>
    <w:rPr>
      <w:i/>
      <w:szCs w:val="20"/>
      <w:lang w:eastAsia="fr-FR"/>
    </w:rPr>
  </w:style>
  <w:style w:type="paragraph" w:styleId="TOC2">
    <w:name w:val="toc 2"/>
    <w:basedOn w:val="Normal"/>
    <w:next w:val="Normal"/>
    <w:autoRedefine/>
    <w:uiPriority w:val="39"/>
    <w:rsid w:val="00106A2A"/>
    <w:pPr>
      <w:keepNext/>
      <w:keepLines/>
      <w:widowControl/>
    </w:pPr>
    <w:rPr>
      <w:b/>
      <w:noProof/>
      <w:szCs w:val="20"/>
      <w:lang w:val="fr-FR" w:eastAsia="fr-FR"/>
    </w:rPr>
  </w:style>
  <w:style w:type="paragraph" w:styleId="TOC3">
    <w:name w:val="toc 3"/>
    <w:basedOn w:val="Normal"/>
    <w:next w:val="Normal"/>
    <w:autoRedefine/>
    <w:uiPriority w:val="39"/>
    <w:rsid w:val="00106A2A"/>
    <w:pPr>
      <w:keepLines/>
      <w:widowControl/>
      <w:ind w:right="510"/>
    </w:pPr>
    <w:rPr>
      <w:noProof/>
      <w:szCs w:val="20"/>
      <w:lang w:val="fr-FR" w:eastAsia="fr-FR"/>
    </w:rPr>
  </w:style>
  <w:style w:type="paragraph" w:customStyle="1" w:styleId="TOCPage">
    <w:name w:val="TOC Page"/>
    <w:basedOn w:val="Normal"/>
    <w:next w:val="TOC1"/>
    <w:rsid w:val="00106A2A"/>
    <w:pPr>
      <w:keepNext/>
      <w:spacing w:after="240"/>
      <w:jc w:val="right"/>
    </w:pPr>
    <w:rPr>
      <w:rFonts w:ascii="Arial" w:hAnsi="Arial"/>
      <w:b/>
      <w:szCs w:val="20"/>
    </w:rPr>
  </w:style>
  <w:style w:type="paragraph" w:customStyle="1" w:styleId="Normal6a">
    <w:name w:val="Normal6a"/>
    <w:basedOn w:val="Normal"/>
    <w:rsid w:val="00106A2A"/>
    <w:pPr>
      <w:spacing w:after="120"/>
    </w:pPr>
    <w:rPr>
      <w:szCs w:val="20"/>
    </w:rPr>
  </w:style>
  <w:style w:type="paragraph" w:customStyle="1" w:styleId="PageHeading">
    <w:name w:val="PageHeading"/>
    <w:basedOn w:val="Normal"/>
    <w:rsid w:val="00106A2A"/>
    <w:pPr>
      <w:keepNext/>
      <w:spacing w:after="480"/>
      <w:jc w:val="center"/>
    </w:pPr>
    <w:rPr>
      <w:rFonts w:ascii="Arial" w:hAnsi="Arial" w:cs="Arial"/>
      <w:b/>
      <w:szCs w:val="20"/>
    </w:rPr>
  </w:style>
  <w:style w:type="paragraph" w:customStyle="1" w:styleId="NormalBold">
    <w:name w:val="NormalBold"/>
    <w:basedOn w:val="Normal"/>
    <w:link w:val="NormalBoldChar"/>
    <w:rsid w:val="00106A2A"/>
    <w:rPr>
      <w:b/>
      <w:szCs w:val="20"/>
    </w:rPr>
  </w:style>
  <w:style w:type="character" w:customStyle="1" w:styleId="NormalBoldChar">
    <w:name w:val="NormalBold Char"/>
    <w:basedOn w:val="DefaultParagraphFont"/>
    <w:link w:val="NormalBold"/>
    <w:rsid w:val="00106A2A"/>
    <w:rPr>
      <w:b/>
      <w:sz w:val="24"/>
      <w:lang w:val="bg-BG"/>
    </w:rPr>
  </w:style>
  <w:style w:type="paragraph" w:customStyle="1" w:styleId="NormalBold12a">
    <w:name w:val="NormalBold12a"/>
    <w:basedOn w:val="Normal"/>
    <w:rsid w:val="00106A2A"/>
    <w:pPr>
      <w:spacing w:after="240"/>
    </w:pPr>
    <w:rPr>
      <w:b/>
      <w:szCs w:val="20"/>
    </w:rPr>
  </w:style>
  <w:style w:type="paragraph" w:customStyle="1" w:styleId="AmJustText">
    <w:name w:val="AmJustText"/>
    <w:basedOn w:val="Normal"/>
    <w:rsid w:val="00106A2A"/>
    <w:pPr>
      <w:spacing w:after="240"/>
    </w:pPr>
    <w:rPr>
      <w:i/>
      <w:szCs w:val="20"/>
    </w:rPr>
  </w:style>
  <w:style w:type="paragraph" w:customStyle="1" w:styleId="NormalHanging12a">
    <w:name w:val="NormalHanging12a"/>
    <w:basedOn w:val="Normal"/>
    <w:rsid w:val="00106A2A"/>
    <w:pPr>
      <w:spacing w:after="240"/>
      <w:ind w:left="567" w:hanging="567"/>
    </w:pPr>
    <w:rPr>
      <w:szCs w:val="20"/>
    </w:rPr>
  </w:style>
  <w:style w:type="paragraph" w:customStyle="1" w:styleId="CoverNormal24a">
    <w:name w:val="CoverNormal24a"/>
    <w:basedOn w:val="Normal"/>
    <w:rsid w:val="00106A2A"/>
    <w:pPr>
      <w:spacing w:after="480"/>
      <w:ind w:left="1417"/>
    </w:pPr>
    <w:rPr>
      <w:szCs w:val="20"/>
    </w:rPr>
  </w:style>
  <w:style w:type="paragraph" w:customStyle="1" w:styleId="AmCrossRef">
    <w:name w:val="AmCrossRef"/>
    <w:basedOn w:val="Normal"/>
    <w:rsid w:val="00106A2A"/>
    <w:pPr>
      <w:spacing w:before="240" w:after="240"/>
      <w:jc w:val="center"/>
    </w:pPr>
    <w:rPr>
      <w:i/>
      <w:szCs w:val="20"/>
    </w:rPr>
  </w:style>
  <w:style w:type="paragraph" w:customStyle="1" w:styleId="AmJustTitle">
    <w:name w:val="AmJustTitle"/>
    <w:basedOn w:val="Normal"/>
    <w:next w:val="AmJustText"/>
    <w:rsid w:val="00106A2A"/>
    <w:pPr>
      <w:keepNext/>
      <w:spacing w:before="240" w:after="240"/>
      <w:jc w:val="center"/>
    </w:pPr>
    <w:rPr>
      <w:i/>
      <w:szCs w:val="20"/>
    </w:rPr>
  </w:style>
  <w:style w:type="paragraph" w:customStyle="1" w:styleId="AmOrLang">
    <w:name w:val="AmOrLang"/>
    <w:basedOn w:val="Normal"/>
    <w:rsid w:val="00106A2A"/>
    <w:pPr>
      <w:spacing w:before="240" w:after="240"/>
      <w:jc w:val="right"/>
    </w:pPr>
    <w:rPr>
      <w:szCs w:val="20"/>
    </w:rPr>
  </w:style>
  <w:style w:type="paragraph" w:customStyle="1" w:styleId="AmColumnHeading">
    <w:name w:val="AmColumnHeading"/>
    <w:basedOn w:val="Normal"/>
    <w:rsid w:val="00106A2A"/>
    <w:pPr>
      <w:spacing w:after="240"/>
      <w:jc w:val="center"/>
    </w:pPr>
    <w:rPr>
      <w:i/>
      <w:szCs w:val="20"/>
    </w:rPr>
  </w:style>
  <w:style w:type="paragraph" w:customStyle="1" w:styleId="AmNumberTabs">
    <w:name w:val="AmNumberTabs"/>
    <w:basedOn w:val="Normal"/>
    <w:rsid w:val="00106A2A"/>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zCs w:val="20"/>
    </w:rPr>
  </w:style>
  <w:style w:type="paragraph" w:customStyle="1" w:styleId="NormalBold12b">
    <w:name w:val="NormalBold12b"/>
    <w:basedOn w:val="Normal"/>
    <w:rsid w:val="00106A2A"/>
    <w:pPr>
      <w:spacing w:before="240"/>
    </w:pPr>
    <w:rPr>
      <w:b/>
      <w:szCs w:val="20"/>
    </w:rPr>
  </w:style>
  <w:style w:type="paragraph" w:customStyle="1" w:styleId="EPComma">
    <w:name w:val="EPComma"/>
    <w:basedOn w:val="Normal"/>
    <w:rsid w:val="00106A2A"/>
    <w:pPr>
      <w:spacing w:before="480" w:after="240"/>
    </w:pPr>
    <w:rPr>
      <w:szCs w:val="20"/>
    </w:rPr>
  </w:style>
  <w:style w:type="paragraph" w:customStyle="1" w:styleId="Lgendesigne">
    <w:name w:val="Légende signe"/>
    <w:basedOn w:val="Normal"/>
    <w:rsid w:val="00106A2A"/>
    <w:pPr>
      <w:tabs>
        <w:tab w:val="right" w:pos="454"/>
        <w:tab w:val="left" w:pos="737"/>
      </w:tabs>
      <w:ind w:left="737" w:hanging="737"/>
    </w:pPr>
    <w:rPr>
      <w:snapToGrid w:val="0"/>
      <w:sz w:val="18"/>
      <w:szCs w:val="20"/>
      <w:lang w:eastAsia="en-US"/>
    </w:rPr>
  </w:style>
  <w:style w:type="paragraph" w:customStyle="1" w:styleId="Lgendetitre">
    <w:name w:val="Légende titre"/>
    <w:basedOn w:val="Normal"/>
    <w:rsid w:val="00106A2A"/>
    <w:pPr>
      <w:spacing w:before="240" w:after="240"/>
    </w:pPr>
    <w:rPr>
      <w:b/>
      <w:i/>
      <w:snapToGrid w:val="0"/>
      <w:szCs w:val="20"/>
      <w:lang w:eastAsia="en-US"/>
    </w:rPr>
  </w:style>
  <w:style w:type="paragraph" w:customStyle="1" w:styleId="Lgendestandard">
    <w:name w:val="Légende standard"/>
    <w:basedOn w:val="Normal"/>
    <w:rsid w:val="00106A2A"/>
    <w:rPr>
      <w:sz w:val="18"/>
      <w:szCs w:val="20"/>
    </w:rPr>
  </w:style>
  <w:style w:type="paragraph" w:customStyle="1" w:styleId="ColumnHeading">
    <w:name w:val="ColumnHeading"/>
    <w:basedOn w:val="Normal"/>
    <w:rsid w:val="00106A2A"/>
    <w:pPr>
      <w:spacing w:after="240"/>
      <w:jc w:val="center"/>
    </w:pPr>
    <w:rPr>
      <w:i/>
      <w:szCs w:val="20"/>
    </w:rPr>
  </w:style>
  <w:style w:type="paragraph" w:customStyle="1" w:styleId="Normal6">
    <w:name w:val="Normal6"/>
    <w:basedOn w:val="Normal"/>
    <w:link w:val="Normal6Char"/>
    <w:rsid w:val="00106A2A"/>
    <w:pPr>
      <w:spacing w:after="120"/>
    </w:pPr>
    <w:rPr>
      <w:szCs w:val="20"/>
    </w:rPr>
  </w:style>
  <w:style w:type="character" w:customStyle="1" w:styleId="Normal6Char">
    <w:name w:val="Normal6 Char"/>
    <w:basedOn w:val="DefaultParagraphFont"/>
    <w:link w:val="Normal6"/>
    <w:rsid w:val="00106A2A"/>
    <w:rPr>
      <w:sz w:val="24"/>
      <w:lang w:val="bg-BG"/>
    </w:rPr>
  </w:style>
  <w:style w:type="paragraph" w:customStyle="1" w:styleId="EntPE">
    <w:name w:val="EntPE"/>
    <w:basedOn w:val="Normal12"/>
    <w:rsid w:val="00106A2A"/>
    <w:pPr>
      <w:jc w:val="center"/>
    </w:pPr>
    <w:rPr>
      <w:noProof w:val="0"/>
      <w:sz w:val="56"/>
    </w:rPr>
  </w:style>
  <w:style w:type="paragraph" w:customStyle="1" w:styleId="Normal12">
    <w:name w:val="Normal12"/>
    <w:basedOn w:val="Normal"/>
    <w:link w:val="Normal12Char"/>
    <w:rsid w:val="00106A2A"/>
    <w:pPr>
      <w:spacing w:after="240"/>
    </w:pPr>
    <w:rPr>
      <w:noProof/>
      <w:szCs w:val="20"/>
    </w:rPr>
  </w:style>
  <w:style w:type="character" w:customStyle="1" w:styleId="Normal12Char">
    <w:name w:val="Normal12 Char"/>
    <w:basedOn w:val="DefaultParagraphFont"/>
    <w:link w:val="Normal12"/>
    <w:locked/>
    <w:rsid w:val="00106A2A"/>
    <w:rPr>
      <w:noProof/>
      <w:sz w:val="24"/>
      <w:lang w:val="bg-BG"/>
    </w:rPr>
  </w:style>
  <w:style w:type="paragraph" w:customStyle="1" w:styleId="Normal12Italic">
    <w:name w:val="Normal12Italic"/>
    <w:basedOn w:val="Normal12"/>
    <w:rsid w:val="00106A2A"/>
    <w:rPr>
      <w:i/>
    </w:rPr>
  </w:style>
  <w:style w:type="paragraph" w:customStyle="1" w:styleId="CommitteeAM">
    <w:name w:val="CommitteeAM"/>
    <w:basedOn w:val="Normal"/>
    <w:rsid w:val="00106A2A"/>
    <w:pPr>
      <w:spacing w:before="240" w:after="600"/>
      <w:jc w:val="center"/>
    </w:pPr>
    <w:rPr>
      <w:i/>
      <w:szCs w:val="20"/>
    </w:rPr>
  </w:style>
  <w:style w:type="paragraph" w:customStyle="1" w:styleId="AMNumberTabs0">
    <w:name w:val="AMNumberTabs"/>
    <w:basedOn w:val="Normal"/>
    <w:rsid w:val="00106A2A"/>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zCs w:val="20"/>
    </w:rPr>
  </w:style>
  <w:style w:type="paragraph" w:customStyle="1" w:styleId="Olang">
    <w:name w:val="Olang"/>
    <w:basedOn w:val="Normal"/>
    <w:rsid w:val="00106A2A"/>
    <w:pPr>
      <w:spacing w:before="240" w:after="240"/>
      <w:jc w:val="right"/>
    </w:pPr>
    <w:rPr>
      <w:noProof/>
    </w:rPr>
  </w:style>
  <w:style w:type="paragraph" w:customStyle="1" w:styleId="JustificationTitle">
    <w:name w:val="JustificationTitle"/>
    <w:basedOn w:val="Normal"/>
    <w:next w:val="Normal12"/>
    <w:rsid w:val="00106A2A"/>
    <w:pPr>
      <w:keepNext/>
      <w:spacing w:before="240" w:after="240"/>
      <w:jc w:val="center"/>
    </w:pPr>
    <w:rPr>
      <w:i/>
      <w:noProof/>
      <w:szCs w:val="20"/>
    </w:rPr>
  </w:style>
  <w:style w:type="paragraph" w:styleId="ListParagraph">
    <w:name w:val="List Paragraph"/>
    <w:basedOn w:val="Normal"/>
    <w:uiPriority w:val="34"/>
    <w:qFormat/>
    <w:rsid w:val="00106A2A"/>
    <w:pPr>
      <w:widowControl/>
      <w:ind w:left="720"/>
      <w:contextualSpacing/>
      <w:jc w:val="both"/>
    </w:pPr>
    <w:rPr>
      <w:rFonts w:eastAsiaTheme="minorHAnsi"/>
      <w:lang w:eastAsia="en-US"/>
    </w:rPr>
  </w:style>
  <w:style w:type="paragraph" w:styleId="BalloonText">
    <w:name w:val="Balloon Text"/>
    <w:basedOn w:val="Normal"/>
    <w:link w:val="BalloonTextChar"/>
    <w:uiPriority w:val="99"/>
    <w:unhideWhenUsed/>
    <w:rsid w:val="00106A2A"/>
    <w:rPr>
      <w:rFonts w:ascii="Segoe UI" w:hAnsi="Segoe UI" w:cs="Segoe UI"/>
      <w:sz w:val="18"/>
      <w:szCs w:val="18"/>
    </w:rPr>
  </w:style>
  <w:style w:type="character" w:customStyle="1" w:styleId="BalloonTextChar">
    <w:name w:val="Balloon Text Char"/>
    <w:basedOn w:val="DefaultParagraphFont"/>
    <w:link w:val="BalloonText"/>
    <w:uiPriority w:val="99"/>
    <w:rsid w:val="00106A2A"/>
    <w:rPr>
      <w:rFonts w:ascii="Segoe UI" w:hAnsi="Segoe UI" w:cs="Segoe UI"/>
      <w:sz w:val="18"/>
      <w:szCs w:val="18"/>
      <w:lang w:val="bg-BG"/>
    </w:rPr>
  </w:style>
  <w:style w:type="character" w:styleId="CommentReference">
    <w:name w:val="annotation reference"/>
    <w:basedOn w:val="DefaultParagraphFont"/>
    <w:uiPriority w:val="99"/>
    <w:rsid w:val="00106A2A"/>
    <w:rPr>
      <w:sz w:val="16"/>
      <w:szCs w:val="16"/>
    </w:rPr>
  </w:style>
  <w:style w:type="paragraph" w:styleId="CommentText">
    <w:name w:val="annotation text"/>
    <w:basedOn w:val="Normal"/>
    <w:link w:val="CommentTextChar"/>
    <w:rsid w:val="00106A2A"/>
    <w:rPr>
      <w:sz w:val="20"/>
      <w:szCs w:val="20"/>
    </w:rPr>
  </w:style>
  <w:style w:type="character" w:customStyle="1" w:styleId="CommentTextChar">
    <w:name w:val="Comment Text Char"/>
    <w:basedOn w:val="DefaultParagraphFont"/>
    <w:link w:val="CommentText"/>
    <w:rsid w:val="00106A2A"/>
    <w:rPr>
      <w:lang w:val="bg-BG"/>
    </w:rPr>
  </w:style>
  <w:style w:type="paragraph" w:styleId="CommentSubject">
    <w:name w:val="annotation subject"/>
    <w:basedOn w:val="CommentText"/>
    <w:next w:val="CommentText"/>
    <w:link w:val="CommentSubjectChar"/>
    <w:uiPriority w:val="99"/>
    <w:unhideWhenUsed/>
    <w:rsid w:val="00106A2A"/>
    <w:rPr>
      <w:b/>
      <w:bCs/>
    </w:rPr>
  </w:style>
  <w:style w:type="character" w:customStyle="1" w:styleId="CommentSubjectChar">
    <w:name w:val="Comment Subject Char"/>
    <w:basedOn w:val="CommentTextChar"/>
    <w:link w:val="CommentSubject"/>
    <w:uiPriority w:val="99"/>
    <w:rsid w:val="00106A2A"/>
    <w:rPr>
      <w:b/>
      <w:bCs/>
      <w:lang w:val="bg-BG"/>
    </w:rPr>
  </w:style>
  <w:style w:type="paragraph" w:customStyle="1" w:styleId="Normal12a">
    <w:name w:val="Normal12a"/>
    <w:basedOn w:val="Normal"/>
    <w:rsid w:val="00106A2A"/>
    <w:pPr>
      <w:spacing w:after="240"/>
    </w:pPr>
    <w:rPr>
      <w:szCs w:val="20"/>
    </w:rPr>
  </w:style>
  <w:style w:type="paragraph" w:customStyle="1" w:styleId="RollCallVotes">
    <w:name w:val="RollCallVotes"/>
    <w:basedOn w:val="Normal"/>
    <w:rsid w:val="00106A2A"/>
    <w:pPr>
      <w:spacing w:before="120" w:after="120"/>
      <w:jc w:val="center"/>
    </w:pPr>
    <w:rPr>
      <w:b/>
      <w:bCs/>
      <w:snapToGrid w:val="0"/>
      <w:sz w:val="16"/>
      <w:szCs w:val="20"/>
      <w:lang w:eastAsia="en-US"/>
    </w:rPr>
  </w:style>
  <w:style w:type="paragraph" w:customStyle="1" w:styleId="RollCallTabs">
    <w:name w:val="RollCallTabs"/>
    <w:basedOn w:val="Normal"/>
    <w:qFormat/>
    <w:rsid w:val="00106A2A"/>
    <w:pPr>
      <w:tabs>
        <w:tab w:val="center" w:pos="284"/>
        <w:tab w:val="left" w:pos="426"/>
      </w:tabs>
    </w:pPr>
    <w:rPr>
      <w:snapToGrid w:val="0"/>
      <w:szCs w:val="20"/>
      <w:lang w:eastAsia="en-US"/>
    </w:rPr>
  </w:style>
  <w:style w:type="paragraph" w:customStyle="1" w:styleId="RollCallSymbols14pt">
    <w:name w:val="RollCallSymbols14pt"/>
    <w:basedOn w:val="Normal"/>
    <w:rsid w:val="00106A2A"/>
    <w:pPr>
      <w:spacing w:before="120" w:after="120"/>
      <w:jc w:val="center"/>
    </w:pPr>
    <w:rPr>
      <w:rFonts w:ascii="Arial" w:hAnsi="Arial"/>
      <w:b/>
      <w:bCs/>
      <w:snapToGrid w:val="0"/>
      <w:sz w:val="28"/>
      <w:szCs w:val="20"/>
      <w:lang w:eastAsia="en-US"/>
    </w:rPr>
  </w:style>
  <w:style w:type="paragraph" w:customStyle="1" w:styleId="RollCallTable">
    <w:name w:val="RollCallTable"/>
    <w:basedOn w:val="Normal"/>
    <w:rsid w:val="00106A2A"/>
    <w:pPr>
      <w:spacing w:before="120" w:after="120"/>
    </w:pPr>
    <w:rPr>
      <w:snapToGrid w:val="0"/>
      <w:sz w:val="16"/>
      <w:szCs w:val="20"/>
      <w:lang w:eastAsia="en-US"/>
    </w:rPr>
  </w:style>
  <w:style w:type="paragraph" w:customStyle="1" w:styleId="PageHeadingNotTOC">
    <w:name w:val="PageHeadingNotTOC"/>
    <w:basedOn w:val="Normal"/>
    <w:rsid w:val="00106A2A"/>
    <w:pPr>
      <w:keepNext/>
      <w:spacing w:after="480"/>
      <w:jc w:val="center"/>
    </w:pPr>
    <w:rPr>
      <w:rFonts w:ascii="Arial" w:hAnsi="Arial" w:cs="Arial"/>
      <w:b/>
      <w:szCs w:val="20"/>
    </w:rPr>
  </w:style>
  <w:style w:type="paragraph" w:customStyle="1" w:styleId="AmHeadingPA">
    <w:name w:val="AmHeadingPA"/>
    <w:basedOn w:val="Normal"/>
    <w:next w:val="Normal"/>
    <w:rsid w:val="00106A2A"/>
    <w:pPr>
      <w:spacing w:before="480" w:after="240"/>
      <w:jc w:val="center"/>
    </w:pPr>
    <w:rPr>
      <w:rFonts w:ascii="Arial" w:hAnsi="Arial"/>
      <w:b/>
      <w:caps/>
      <w:snapToGrid w:val="0"/>
      <w:lang w:eastAsia="en-US"/>
    </w:rPr>
  </w:style>
  <w:style w:type="paragraph" w:styleId="NormalWeb">
    <w:name w:val="Normal (Web)"/>
    <w:basedOn w:val="Normal"/>
    <w:uiPriority w:val="99"/>
    <w:rsid w:val="00106A2A"/>
  </w:style>
  <w:style w:type="paragraph" w:customStyle="1" w:styleId="msonormal0">
    <w:name w:val="msonormal"/>
    <w:basedOn w:val="Normal"/>
    <w:rsid w:val="00106A2A"/>
  </w:style>
  <w:style w:type="paragraph" w:customStyle="1" w:styleId="Normal24a">
    <w:name w:val="Normal24a"/>
    <w:basedOn w:val="Normal"/>
    <w:link w:val="Normal24aChar"/>
    <w:rsid w:val="00106A2A"/>
    <w:pPr>
      <w:spacing w:after="480"/>
    </w:pPr>
    <w:rPr>
      <w:szCs w:val="20"/>
    </w:rPr>
  </w:style>
  <w:style w:type="character" w:customStyle="1" w:styleId="Normal24aChar">
    <w:name w:val="Normal24a Char"/>
    <w:basedOn w:val="DefaultParagraphFont"/>
    <w:link w:val="Normal24a"/>
    <w:rsid w:val="00106A2A"/>
    <w:rPr>
      <w:sz w:val="24"/>
      <w:lang w:val="bg-BG"/>
    </w:rPr>
  </w:style>
  <w:style w:type="paragraph" w:customStyle="1" w:styleId="ZDateAM">
    <w:name w:val="ZDateAM"/>
    <w:basedOn w:val="Normal"/>
    <w:rsid w:val="00106A2A"/>
    <w:pPr>
      <w:tabs>
        <w:tab w:val="right" w:pos="9356"/>
      </w:tabs>
      <w:spacing w:after="480"/>
    </w:pPr>
    <w:rPr>
      <w:noProof/>
      <w:szCs w:val="20"/>
    </w:rPr>
  </w:style>
  <w:style w:type="paragraph" w:customStyle="1" w:styleId="ProjRap">
    <w:name w:val="ProjRap"/>
    <w:basedOn w:val="Normal"/>
    <w:rsid w:val="00106A2A"/>
    <w:pPr>
      <w:tabs>
        <w:tab w:val="right" w:pos="9356"/>
      </w:tabs>
    </w:pPr>
    <w:rPr>
      <w:b/>
      <w:noProof/>
      <w:szCs w:val="20"/>
    </w:rPr>
  </w:style>
  <w:style w:type="paragraph" w:customStyle="1" w:styleId="PELeft">
    <w:name w:val="PELeft"/>
    <w:basedOn w:val="Normal"/>
    <w:rsid w:val="00106A2A"/>
    <w:pPr>
      <w:spacing w:before="40" w:after="40"/>
    </w:pPr>
    <w:rPr>
      <w:rFonts w:ascii="Arial" w:hAnsi="Arial" w:cs="Arial"/>
      <w:sz w:val="22"/>
      <w:szCs w:val="22"/>
    </w:rPr>
  </w:style>
  <w:style w:type="paragraph" w:customStyle="1" w:styleId="PERight">
    <w:name w:val="PERight"/>
    <w:basedOn w:val="Normal"/>
    <w:next w:val="Normal"/>
    <w:rsid w:val="00106A2A"/>
    <w:pPr>
      <w:jc w:val="right"/>
    </w:pPr>
    <w:rPr>
      <w:rFonts w:ascii="Arial" w:hAnsi="Arial" w:cs="Arial"/>
      <w:sz w:val="22"/>
      <w:szCs w:val="22"/>
    </w:rPr>
  </w:style>
  <w:style w:type="paragraph" w:customStyle="1" w:styleId="CrossRef">
    <w:name w:val="CrossRef"/>
    <w:basedOn w:val="Normal"/>
    <w:rsid w:val="00106A2A"/>
    <w:pPr>
      <w:spacing w:before="240"/>
      <w:jc w:val="center"/>
    </w:pPr>
    <w:rPr>
      <w:i/>
      <w:szCs w:val="20"/>
    </w:rPr>
  </w:style>
  <w:style w:type="character" w:customStyle="1" w:styleId="FooterChar1">
    <w:name w:val="Footer Char1"/>
    <w:basedOn w:val="DefaultParagraphFont"/>
    <w:semiHidden/>
    <w:rsid w:val="00106A2A"/>
    <w:rPr>
      <w:sz w:val="24"/>
    </w:rPr>
  </w:style>
  <w:style w:type="character" w:customStyle="1" w:styleId="SupBoldItalic">
    <w:name w:val="SupBoldItalic"/>
    <w:uiPriority w:val="1"/>
    <w:qFormat/>
    <w:rsid w:val="00106A2A"/>
    <w:rPr>
      <w:b/>
      <w:i/>
      <w:vertAlign w:val="superscript"/>
    </w:rPr>
  </w:style>
  <w:style w:type="character" w:customStyle="1" w:styleId="Sup">
    <w:name w:val="Sup"/>
    <w:uiPriority w:val="1"/>
    <w:qFormat/>
    <w:rsid w:val="00106A2A"/>
    <w:rPr>
      <w:vertAlign w:val="superscript"/>
    </w:rPr>
  </w:style>
  <w:style w:type="paragraph" w:styleId="Revision">
    <w:name w:val="Revision"/>
    <w:hidden/>
    <w:uiPriority w:val="99"/>
    <w:semiHidden/>
    <w:rsid w:val="00106A2A"/>
    <w:rPr>
      <w:sz w:val="24"/>
      <w:szCs w:val="24"/>
      <w:lang w:val="bg-BG"/>
    </w:rPr>
  </w:style>
  <w:style w:type="character" w:customStyle="1" w:styleId="FooterChar2">
    <w:name w:val="Footer Char2"/>
    <w:basedOn w:val="DefaultParagraphFont"/>
    <w:semiHidden/>
    <w:rsid w:val="00106A2A"/>
    <w:rPr>
      <w:sz w:val="24"/>
    </w:rPr>
  </w:style>
  <w:style w:type="character" w:customStyle="1" w:styleId="Footer2Middle">
    <w:name w:val="Footer2Middle"/>
    <w:rsid w:val="00106A2A"/>
    <w:rPr>
      <w:rFonts w:ascii="Arial" w:hAnsi="Arial" w:cs="Arial" w:hint="default"/>
      <w:b w:val="0"/>
      <w:bCs w:val="0"/>
      <w:i/>
      <w:iCs w:val="0"/>
      <w:color w:val="C0C0C0"/>
      <w:sz w:val="22"/>
    </w:rPr>
  </w:style>
  <w:style w:type="character" w:styleId="Hyperlink">
    <w:name w:val="Hyperlink"/>
    <w:basedOn w:val="DefaultParagraphFont"/>
    <w:uiPriority w:val="99"/>
    <w:rsid w:val="00106A2A"/>
    <w:rPr>
      <w:color w:val="0563C1" w:themeColor="hyperlink"/>
      <w:u w:val="single"/>
    </w:rPr>
  </w:style>
  <w:style w:type="character" w:styleId="FollowedHyperlink">
    <w:name w:val="FollowedHyperlink"/>
    <w:basedOn w:val="DefaultParagraphFont"/>
    <w:uiPriority w:val="99"/>
    <w:unhideWhenUsed/>
    <w:rsid w:val="00106A2A"/>
    <w:rPr>
      <w:color w:val="954F72" w:themeColor="followedHyperlink"/>
      <w:u w:val="single"/>
    </w:rPr>
  </w:style>
  <w:style w:type="paragraph" w:customStyle="1" w:styleId="Normal12Hanging">
    <w:name w:val="Normal12Hanging"/>
    <w:basedOn w:val="Normal"/>
    <w:link w:val="Normal12HangingChar"/>
    <w:qFormat/>
    <w:rsid w:val="00106A2A"/>
    <w:pPr>
      <w:spacing w:after="240"/>
      <w:ind w:left="357" w:hanging="357"/>
    </w:pPr>
    <w:rPr>
      <w:snapToGrid w:val="0"/>
      <w:szCs w:val="20"/>
    </w:rPr>
  </w:style>
  <w:style w:type="character" w:customStyle="1" w:styleId="Normal12HangingChar">
    <w:name w:val="Normal12Hanging Char"/>
    <w:link w:val="Normal12Hanging"/>
    <w:rsid w:val="00106A2A"/>
    <w:rPr>
      <w:snapToGrid w:val="0"/>
      <w:sz w:val="24"/>
      <w:lang w:val="bg-BG"/>
    </w:rPr>
  </w:style>
  <w:style w:type="numbering" w:customStyle="1" w:styleId="NoList11">
    <w:name w:val="No List11"/>
    <w:next w:val="NoList"/>
    <w:uiPriority w:val="99"/>
    <w:semiHidden/>
    <w:unhideWhenUsed/>
    <w:rsid w:val="00106A2A"/>
  </w:style>
  <w:style w:type="paragraph" w:customStyle="1" w:styleId="Footer1">
    <w:name w:val="Footer1"/>
    <w:basedOn w:val="Normal"/>
    <w:next w:val="Footer"/>
    <w:uiPriority w:val="99"/>
    <w:unhideWhenUsed/>
    <w:rsid w:val="00106A2A"/>
    <w:pPr>
      <w:widowControl/>
      <w:tabs>
        <w:tab w:val="center" w:pos="4819"/>
        <w:tab w:val="center" w:pos="7370"/>
        <w:tab w:val="right" w:pos="9638"/>
      </w:tabs>
    </w:pPr>
    <w:rPr>
      <w:szCs w:val="20"/>
    </w:rPr>
  </w:style>
  <w:style w:type="paragraph" w:customStyle="1" w:styleId="TOC41">
    <w:name w:val="TOC 41"/>
    <w:basedOn w:val="Normal"/>
    <w:next w:val="Normal"/>
    <w:uiPriority w:val="39"/>
    <w:semiHidden/>
    <w:unhideWhenUsed/>
    <w:rsid w:val="00106A2A"/>
    <w:pPr>
      <w:widowControl/>
      <w:tabs>
        <w:tab w:val="right" w:leader="dot" w:pos="9071"/>
      </w:tabs>
      <w:spacing w:before="60" w:after="120" w:line="360" w:lineRule="auto"/>
      <w:ind w:left="850" w:hanging="850"/>
    </w:pPr>
    <w:rPr>
      <w:rFonts w:eastAsia="Calibri"/>
      <w:szCs w:val="22"/>
      <w:lang w:eastAsia="en-US"/>
    </w:rPr>
  </w:style>
  <w:style w:type="paragraph" w:customStyle="1" w:styleId="TOC51">
    <w:name w:val="TOC 51"/>
    <w:basedOn w:val="Normal"/>
    <w:next w:val="Normal"/>
    <w:uiPriority w:val="39"/>
    <w:semiHidden/>
    <w:unhideWhenUsed/>
    <w:rsid w:val="00106A2A"/>
    <w:pPr>
      <w:widowControl/>
      <w:tabs>
        <w:tab w:val="right" w:leader="dot" w:pos="9071"/>
      </w:tabs>
      <w:spacing w:before="300" w:after="120" w:line="360" w:lineRule="auto"/>
    </w:pPr>
    <w:rPr>
      <w:rFonts w:eastAsia="Calibri"/>
      <w:szCs w:val="22"/>
      <w:lang w:eastAsia="en-US"/>
    </w:rPr>
  </w:style>
  <w:style w:type="paragraph" w:customStyle="1" w:styleId="TOC61">
    <w:name w:val="TOC 61"/>
    <w:basedOn w:val="Normal"/>
    <w:next w:val="Normal"/>
    <w:uiPriority w:val="39"/>
    <w:semiHidden/>
    <w:unhideWhenUsed/>
    <w:rsid w:val="00106A2A"/>
    <w:pPr>
      <w:widowControl/>
      <w:tabs>
        <w:tab w:val="right" w:leader="dot" w:pos="9071"/>
      </w:tabs>
      <w:spacing w:before="240" w:after="120" w:line="360" w:lineRule="auto"/>
    </w:pPr>
    <w:rPr>
      <w:rFonts w:eastAsia="Calibri"/>
      <w:szCs w:val="22"/>
      <w:lang w:eastAsia="en-US"/>
    </w:rPr>
  </w:style>
  <w:style w:type="paragraph" w:customStyle="1" w:styleId="TOC71">
    <w:name w:val="TOC 71"/>
    <w:basedOn w:val="Normal"/>
    <w:next w:val="Normal"/>
    <w:uiPriority w:val="39"/>
    <w:semiHidden/>
    <w:unhideWhenUsed/>
    <w:rsid w:val="00106A2A"/>
    <w:pPr>
      <w:widowControl/>
      <w:tabs>
        <w:tab w:val="right" w:leader="dot" w:pos="9071"/>
      </w:tabs>
      <w:spacing w:before="180" w:after="120" w:line="360" w:lineRule="auto"/>
    </w:pPr>
    <w:rPr>
      <w:rFonts w:eastAsia="Calibri"/>
      <w:szCs w:val="22"/>
      <w:lang w:eastAsia="en-US"/>
    </w:rPr>
  </w:style>
  <w:style w:type="paragraph" w:customStyle="1" w:styleId="TOC81">
    <w:name w:val="TOC 81"/>
    <w:basedOn w:val="Normal"/>
    <w:next w:val="Normal"/>
    <w:uiPriority w:val="39"/>
    <w:semiHidden/>
    <w:unhideWhenUsed/>
    <w:rsid w:val="00106A2A"/>
    <w:pPr>
      <w:widowControl/>
      <w:tabs>
        <w:tab w:val="right" w:leader="dot" w:pos="9071"/>
      </w:tabs>
      <w:spacing w:before="120" w:after="120" w:line="360" w:lineRule="auto"/>
    </w:pPr>
    <w:rPr>
      <w:rFonts w:eastAsia="Calibri"/>
      <w:szCs w:val="22"/>
      <w:lang w:eastAsia="en-US"/>
    </w:rPr>
  </w:style>
  <w:style w:type="paragraph" w:customStyle="1" w:styleId="TOC91">
    <w:name w:val="TOC 91"/>
    <w:basedOn w:val="Normal"/>
    <w:next w:val="Normal"/>
    <w:uiPriority w:val="39"/>
    <w:semiHidden/>
    <w:unhideWhenUsed/>
    <w:rsid w:val="00106A2A"/>
    <w:pPr>
      <w:widowControl/>
      <w:tabs>
        <w:tab w:val="right" w:leader="dot" w:pos="9071"/>
      </w:tabs>
      <w:spacing w:before="120" w:after="120" w:line="360" w:lineRule="auto"/>
    </w:pPr>
    <w:rPr>
      <w:rFonts w:eastAsia="Calibri"/>
      <w:szCs w:val="22"/>
      <w:lang w:eastAsia="en-US"/>
    </w:rPr>
  </w:style>
  <w:style w:type="paragraph" w:customStyle="1" w:styleId="HeaderLandscape">
    <w:name w:val="HeaderLandscape"/>
    <w:basedOn w:val="Normal"/>
    <w:rsid w:val="00106A2A"/>
    <w:pPr>
      <w:widowControl/>
      <w:tabs>
        <w:tab w:val="right" w:pos="14570"/>
      </w:tabs>
      <w:spacing w:before="120" w:after="120" w:line="360" w:lineRule="auto"/>
    </w:pPr>
    <w:rPr>
      <w:rFonts w:eastAsia="Calibri"/>
      <w:szCs w:val="22"/>
      <w:lang w:eastAsia="en-US"/>
    </w:rPr>
  </w:style>
  <w:style w:type="paragraph" w:customStyle="1" w:styleId="FooterLandscape">
    <w:name w:val="FooterLandscape"/>
    <w:basedOn w:val="Normal"/>
    <w:rsid w:val="00106A2A"/>
    <w:pPr>
      <w:widowControl/>
      <w:tabs>
        <w:tab w:val="center" w:pos="7285"/>
        <w:tab w:val="center" w:pos="10930"/>
        <w:tab w:val="right" w:pos="14570"/>
      </w:tabs>
    </w:pPr>
    <w:rPr>
      <w:rFonts w:eastAsia="Calibri"/>
      <w:szCs w:val="22"/>
      <w:lang w:eastAsia="en-US"/>
    </w:rPr>
  </w:style>
  <w:style w:type="paragraph" w:customStyle="1" w:styleId="HeaderCouncil">
    <w:name w:val="Header Council"/>
    <w:basedOn w:val="Normal"/>
    <w:rsid w:val="00106A2A"/>
    <w:pPr>
      <w:widowControl/>
    </w:pPr>
    <w:rPr>
      <w:rFonts w:eastAsia="Calibri"/>
      <w:sz w:val="2"/>
      <w:szCs w:val="22"/>
      <w:lang w:eastAsia="en-US"/>
    </w:rPr>
  </w:style>
  <w:style w:type="paragraph" w:customStyle="1" w:styleId="FooterCouncil">
    <w:name w:val="Footer Council"/>
    <w:basedOn w:val="Normal"/>
    <w:rsid w:val="00106A2A"/>
    <w:pPr>
      <w:widowControl/>
    </w:pPr>
    <w:rPr>
      <w:rFonts w:eastAsia="Calibri"/>
      <w:sz w:val="2"/>
      <w:szCs w:val="22"/>
      <w:lang w:eastAsia="en-US"/>
    </w:rPr>
  </w:style>
  <w:style w:type="paragraph" w:customStyle="1" w:styleId="TechnicalBlock">
    <w:name w:val="Technical Block"/>
    <w:basedOn w:val="Normal"/>
    <w:next w:val="Normal"/>
    <w:link w:val="TechnicalBlockChar"/>
    <w:rsid w:val="00106A2A"/>
    <w:pPr>
      <w:widowControl/>
      <w:spacing w:after="240"/>
      <w:jc w:val="center"/>
    </w:pPr>
    <w:rPr>
      <w:rFonts w:eastAsia="Calibri"/>
      <w:szCs w:val="22"/>
      <w:lang w:eastAsia="en-US"/>
    </w:rPr>
  </w:style>
  <w:style w:type="character" w:customStyle="1" w:styleId="Marker">
    <w:name w:val="Marker"/>
    <w:basedOn w:val="DefaultParagraphFont"/>
    <w:rsid w:val="00106A2A"/>
    <w:rPr>
      <w:color w:val="0000FF"/>
      <w:bdr w:val="none" w:sz="0" w:space="0" w:color="auto"/>
      <w:shd w:val="clear" w:color="auto" w:fill="auto"/>
    </w:rPr>
  </w:style>
  <w:style w:type="character" w:customStyle="1" w:styleId="Marker1">
    <w:name w:val="Marker1"/>
    <w:basedOn w:val="DefaultParagraphFont"/>
    <w:rsid w:val="00106A2A"/>
    <w:rPr>
      <w:color w:val="008000"/>
      <w:bdr w:val="none" w:sz="0" w:space="0" w:color="auto"/>
      <w:shd w:val="clear" w:color="auto" w:fill="auto"/>
    </w:rPr>
  </w:style>
  <w:style w:type="paragraph" w:customStyle="1" w:styleId="Text1">
    <w:name w:val="Text 1"/>
    <w:basedOn w:val="Normal"/>
    <w:rsid w:val="00106A2A"/>
    <w:pPr>
      <w:widowControl/>
      <w:spacing w:before="120" w:after="120" w:line="360" w:lineRule="auto"/>
      <w:ind w:left="850"/>
    </w:pPr>
    <w:rPr>
      <w:rFonts w:eastAsia="Calibri"/>
      <w:szCs w:val="22"/>
      <w:lang w:eastAsia="en-US"/>
    </w:rPr>
  </w:style>
  <w:style w:type="paragraph" w:customStyle="1" w:styleId="Text2">
    <w:name w:val="Text 2"/>
    <w:basedOn w:val="Normal"/>
    <w:rsid w:val="00106A2A"/>
    <w:pPr>
      <w:widowControl/>
      <w:spacing w:before="120" w:after="120" w:line="360" w:lineRule="auto"/>
      <w:ind w:left="1417"/>
    </w:pPr>
    <w:rPr>
      <w:rFonts w:eastAsia="Calibri"/>
      <w:szCs w:val="22"/>
      <w:lang w:eastAsia="en-US"/>
    </w:rPr>
  </w:style>
  <w:style w:type="paragraph" w:customStyle="1" w:styleId="Text3">
    <w:name w:val="Text 3"/>
    <w:basedOn w:val="Normal"/>
    <w:rsid w:val="00106A2A"/>
    <w:pPr>
      <w:widowControl/>
      <w:spacing w:before="120" w:after="120" w:line="360" w:lineRule="auto"/>
      <w:ind w:left="1984"/>
    </w:pPr>
    <w:rPr>
      <w:rFonts w:eastAsia="Calibri"/>
      <w:szCs w:val="22"/>
      <w:lang w:eastAsia="en-US"/>
    </w:rPr>
  </w:style>
  <w:style w:type="paragraph" w:customStyle="1" w:styleId="Text4">
    <w:name w:val="Text 4"/>
    <w:basedOn w:val="Normal"/>
    <w:rsid w:val="00106A2A"/>
    <w:pPr>
      <w:widowControl/>
      <w:spacing w:before="120" w:after="120" w:line="360" w:lineRule="auto"/>
      <w:ind w:left="2551"/>
    </w:pPr>
    <w:rPr>
      <w:rFonts w:eastAsia="Calibri"/>
      <w:szCs w:val="22"/>
      <w:lang w:eastAsia="en-US"/>
    </w:rPr>
  </w:style>
  <w:style w:type="paragraph" w:customStyle="1" w:styleId="Text5">
    <w:name w:val="Text 5"/>
    <w:basedOn w:val="Normal"/>
    <w:qFormat/>
    <w:rsid w:val="00106A2A"/>
    <w:pPr>
      <w:widowControl/>
      <w:spacing w:before="120" w:after="120" w:line="360" w:lineRule="auto"/>
      <w:ind w:left="3118"/>
    </w:pPr>
    <w:rPr>
      <w:rFonts w:eastAsia="Calibri"/>
      <w:szCs w:val="22"/>
      <w:lang w:eastAsia="en-US"/>
    </w:rPr>
  </w:style>
  <w:style w:type="paragraph" w:customStyle="1" w:styleId="Text6">
    <w:name w:val="Text 6"/>
    <w:basedOn w:val="Normal"/>
    <w:qFormat/>
    <w:rsid w:val="00106A2A"/>
    <w:pPr>
      <w:widowControl/>
      <w:spacing w:before="120" w:after="120" w:line="360" w:lineRule="auto"/>
      <w:ind w:left="3685"/>
    </w:pPr>
    <w:rPr>
      <w:rFonts w:eastAsia="Calibri"/>
      <w:szCs w:val="22"/>
      <w:lang w:eastAsia="en-US"/>
    </w:rPr>
  </w:style>
  <w:style w:type="paragraph" w:customStyle="1" w:styleId="NormalCentered">
    <w:name w:val="Normal Centered"/>
    <w:basedOn w:val="Normal"/>
    <w:rsid w:val="00106A2A"/>
    <w:pPr>
      <w:widowControl/>
      <w:spacing w:before="120" w:after="120" w:line="360" w:lineRule="auto"/>
      <w:jc w:val="center"/>
    </w:pPr>
    <w:rPr>
      <w:rFonts w:eastAsia="Calibri"/>
      <w:szCs w:val="22"/>
      <w:lang w:eastAsia="en-US"/>
    </w:rPr>
  </w:style>
  <w:style w:type="paragraph" w:customStyle="1" w:styleId="NormalLeft">
    <w:name w:val="Normal Left"/>
    <w:basedOn w:val="Normal"/>
    <w:rsid w:val="00106A2A"/>
    <w:pPr>
      <w:widowControl/>
      <w:spacing w:before="120" w:after="120" w:line="360" w:lineRule="auto"/>
    </w:pPr>
    <w:rPr>
      <w:rFonts w:eastAsia="Calibri"/>
      <w:szCs w:val="22"/>
      <w:lang w:eastAsia="en-US"/>
    </w:rPr>
  </w:style>
  <w:style w:type="paragraph" w:customStyle="1" w:styleId="NormalRight">
    <w:name w:val="Normal Right"/>
    <w:basedOn w:val="Normal"/>
    <w:rsid w:val="00106A2A"/>
    <w:pPr>
      <w:widowControl/>
      <w:spacing w:before="120" w:after="120" w:line="360" w:lineRule="auto"/>
      <w:jc w:val="right"/>
    </w:pPr>
    <w:rPr>
      <w:rFonts w:eastAsia="Calibri"/>
      <w:szCs w:val="22"/>
      <w:lang w:eastAsia="en-US"/>
    </w:rPr>
  </w:style>
  <w:style w:type="paragraph" w:customStyle="1" w:styleId="QuotedText">
    <w:name w:val="Quoted Text"/>
    <w:basedOn w:val="Normal"/>
    <w:rsid w:val="00106A2A"/>
    <w:pPr>
      <w:widowControl/>
      <w:spacing w:before="120" w:after="120" w:line="360" w:lineRule="auto"/>
      <w:ind w:left="1417"/>
    </w:pPr>
    <w:rPr>
      <w:rFonts w:eastAsia="Calibri"/>
      <w:szCs w:val="22"/>
      <w:lang w:eastAsia="en-US"/>
    </w:rPr>
  </w:style>
  <w:style w:type="paragraph" w:customStyle="1" w:styleId="Point0">
    <w:name w:val="Point 0"/>
    <w:basedOn w:val="Normal"/>
    <w:rsid w:val="00106A2A"/>
    <w:pPr>
      <w:widowControl/>
      <w:spacing w:before="120" w:after="120" w:line="360" w:lineRule="auto"/>
      <w:ind w:left="850" w:hanging="850"/>
    </w:pPr>
    <w:rPr>
      <w:rFonts w:eastAsia="Calibri"/>
      <w:szCs w:val="22"/>
      <w:lang w:eastAsia="en-US"/>
    </w:rPr>
  </w:style>
  <w:style w:type="paragraph" w:customStyle="1" w:styleId="Point1">
    <w:name w:val="Point 1"/>
    <w:basedOn w:val="Normal"/>
    <w:rsid w:val="00106A2A"/>
    <w:pPr>
      <w:widowControl/>
      <w:spacing w:before="120" w:after="120" w:line="360" w:lineRule="auto"/>
      <w:ind w:left="1417" w:hanging="567"/>
    </w:pPr>
    <w:rPr>
      <w:rFonts w:eastAsia="Calibri"/>
      <w:szCs w:val="22"/>
      <w:lang w:eastAsia="en-US"/>
    </w:rPr>
  </w:style>
  <w:style w:type="paragraph" w:customStyle="1" w:styleId="Point2">
    <w:name w:val="Point 2"/>
    <w:basedOn w:val="Normal"/>
    <w:rsid w:val="00106A2A"/>
    <w:pPr>
      <w:widowControl/>
      <w:spacing w:before="120" w:after="120" w:line="360" w:lineRule="auto"/>
      <w:ind w:left="1984" w:hanging="567"/>
    </w:pPr>
    <w:rPr>
      <w:rFonts w:eastAsia="Calibri"/>
      <w:szCs w:val="22"/>
      <w:lang w:eastAsia="en-US"/>
    </w:rPr>
  </w:style>
  <w:style w:type="paragraph" w:customStyle="1" w:styleId="Point3">
    <w:name w:val="Point 3"/>
    <w:basedOn w:val="Normal"/>
    <w:rsid w:val="00106A2A"/>
    <w:pPr>
      <w:widowControl/>
      <w:spacing w:before="120" w:after="120" w:line="360" w:lineRule="auto"/>
      <w:ind w:left="2551" w:hanging="567"/>
    </w:pPr>
    <w:rPr>
      <w:rFonts w:eastAsia="Calibri"/>
      <w:szCs w:val="22"/>
      <w:lang w:eastAsia="en-US"/>
    </w:rPr>
  </w:style>
  <w:style w:type="paragraph" w:customStyle="1" w:styleId="Point4">
    <w:name w:val="Point 4"/>
    <w:basedOn w:val="Normal"/>
    <w:rsid w:val="00106A2A"/>
    <w:pPr>
      <w:widowControl/>
      <w:spacing w:before="120" w:after="120" w:line="360" w:lineRule="auto"/>
      <w:ind w:left="3118" w:hanging="567"/>
    </w:pPr>
    <w:rPr>
      <w:rFonts w:eastAsia="Calibri"/>
      <w:szCs w:val="22"/>
      <w:lang w:eastAsia="en-US"/>
    </w:rPr>
  </w:style>
  <w:style w:type="paragraph" w:customStyle="1" w:styleId="Point5">
    <w:name w:val="Point 5"/>
    <w:basedOn w:val="Normal"/>
    <w:qFormat/>
    <w:rsid w:val="00106A2A"/>
    <w:pPr>
      <w:widowControl/>
      <w:spacing w:before="120" w:after="120" w:line="360" w:lineRule="auto"/>
      <w:ind w:left="3685" w:hanging="567"/>
    </w:pPr>
    <w:rPr>
      <w:rFonts w:eastAsia="Calibri"/>
      <w:szCs w:val="22"/>
      <w:lang w:eastAsia="en-US"/>
    </w:rPr>
  </w:style>
  <w:style w:type="paragraph" w:customStyle="1" w:styleId="PointDouble0">
    <w:name w:val="PointDouble 0"/>
    <w:basedOn w:val="Normal"/>
    <w:rsid w:val="00106A2A"/>
    <w:pPr>
      <w:widowControl/>
      <w:tabs>
        <w:tab w:val="left" w:pos="850"/>
      </w:tabs>
      <w:spacing w:before="120" w:after="120" w:line="360" w:lineRule="auto"/>
      <w:ind w:left="1417" w:hanging="1417"/>
    </w:pPr>
    <w:rPr>
      <w:rFonts w:eastAsia="Calibri"/>
      <w:szCs w:val="22"/>
      <w:lang w:eastAsia="en-US"/>
    </w:rPr>
  </w:style>
  <w:style w:type="paragraph" w:customStyle="1" w:styleId="PointDouble1">
    <w:name w:val="PointDouble 1"/>
    <w:basedOn w:val="Normal"/>
    <w:rsid w:val="00106A2A"/>
    <w:pPr>
      <w:widowControl/>
      <w:tabs>
        <w:tab w:val="left" w:pos="1417"/>
      </w:tabs>
      <w:spacing w:before="120" w:after="120" w:line="360" w:lineRule="auto"/>
      <w:ind w:left="1984" w:hanging="1134"/>
    </w:pPr>
    <w:rPr>
      <w:rFonts w:eastAsia="Calibri"/>
      <w:szCs w:val="22"/>
      <w:lang w:eastAsia="en-US"/>
    </w:rPr>
  </w:style>
  <w:style w:type="paragraph" w:customStyle="1" w:styleId="PointDouble2">
    <w:name w:val="PointDouble 2"/>
    <w:basedOn w:val="Normal"/>
    <w:rsid w:val="00106A2A"/>
    <w:pPr>
      <w:widowControl/>
      <w:tabs>
        <w:tab w:val="left" w:pos="1984"/>
      </w:tabs>
      <w:spacing w:before="120" w:after="120" w:line="360" w:lineRule="auto"/>
      <w:ind w:left="2551" w:hanging="1134"/>
    </w:pPr>
    <w:rPr>
      <w:rFonts w:eastAsia="Calibri"/>
      <w:szCs w:val="22"/>
      <w:lang w:eastAsia="en-US"/>
    </w:rPr>
  </w:style>
  <w:style w:type="paragraph" w:customStyle="1" w:styleId="PointDouble3">
    <w:name w:val="PointDouble 3"/>
    <w:basedOn w:val="Normal"/>
    <w:rsid w:val="00106A2A"/>
    <w:pPr>
      <w:widowControl/>
      <w:tabs>
        <w:tab w:val="left" w:pos="2551"/>
      </w:tabs>
      <w:spacing w:before="120" w:after="120" w:line="360" w:lineRule="auto"/>
      <w:ind w:left="3118" w:hanging="1134"/>
    </w:pPr>
    <w:rPr>
      <w:rFonts w:eastAsia="Calibri"/>
      <w:szCs w:val="22"/>
      <w:lang w:eastAsia="en-US"/>
    </w:rPr>
  </w:style>
  <w:style w:type="paragraph" w:customStyle="1" w:styleId="PointDouble4">
    <w:name w:val="PointDouble 4"/>
    <w:basedOn w:val="Normal"/>
    <w:rsid w:val="00106A2A"/>
    <w:pPr>
      <w:widowControl/>
      <w:tabs>
        <w:tab w:val="left" w:pos="3118"/>
      </w:tabs>
      <w:spacing w:before="120" w:after="120" w:line="360" w:lineRule="auto"/>
      <w:ind w:left="3685" w:hanging="1134"/>
    </w:pPr>
    <w:rPr>
      <w:rFonts w:eastAsia="Calibri"/>
      <w:szCs w:val="22"/>
      <w:lang w:eastAsia="en-US"/>
    </w:rPr>
  </w:style>
  <w:style w:type="paragraph" w:customStyle="1" w:styleId="PointDouble5">
    <w:name w:val="PointDouble 5"/>
    <w:basedOn w:val="Normal"/>
    <w:rsid w:val="00106A2A"/>
    <w:pPr>
      <w:widowControl/>
      <w:tabs>
        <w:tab w:val="left" w:pos="3685"/>
      </w:tabs>
      <w:spacing w:before="120" w:after="120" w:line="360" w:lineRule="auto"/>
      <w:ind w:left="4252" w:hanging="1134"/>
    </w:pPr>
    <w:rPr>
      <w:rFonts w:eastAsia="Calibri"/>
      <w:szCs w:val="22"/>
      <w:lang w:eastAsia="en-US"/>
    </w:rPr>
  </w:style>
  <w:style w:type="paragraph" w:customStyle="1" w:styleId="PointTriple0">
    <w:name w:val="PointTriple 0"/>
    <w:basedOn w:val="Normal"/>
    <w:rsid w:val="00106A2A"/>
    <w:pPr>
      <w:widowControl/>
      <w:tabs>
        <w:tab w:val="left" w:pos="850"/>
        <w:tab w:val="left" w:pos="1417"/>
      </w:tabs>
      <w:spacing w:before="120" w:after="120" w:line="360" w:lineRule="auto"/>
      <w:ind w:left="1984" w:hanging="1984"/>
    </w:pPr>
    <w:rPr>
      <w:rFonts w:eastAsia="Calibri"/>
      <w:szCs w:val="22"/>
      <w:lang w:eastAsia="en-US"/>
    </w:rPr>
  </w:style>
  <w:style w:type="paragraph" w:customStyle="1" w:styleId="PointTriple1">
    <w:name w:val="PointTriple 1"/>
    <w:basedOn w:val="Normal"/>
    <w:rsid w:val="00106A2A"/>
    <w:pPr>
      <w:widowControl/>
      <w:tabs>
        <w:tab w:val="left" w:pos="1417"/>
        <w:tab w:val="left" w:pos="1984"/>
      </w:tabs>
      <w:spacing w:before="120" w:after="120" w:line="360" w:lineRule="auto"/>
      <w:ind w:left="2551" w:hanging="1701"/>
    </w:pPr>
    <w:rPr>
      <w:rFonts w:eastAsia="Calibri"/>
      <w:szCs w:val="22"/>
      <w:lang w:eastAsia="en-US"/>
    </w:rPr>
  </w:style>
  <w:style w:type="paragraph" w:customStyle="1" w:styleId="PointTriple2">
    <w:name w:val="PointTriple 2"/>
    <w:basedOn w:val="Normal"/>
    <w:rsid w:val="00106A2A"/>
    <w:pPr>
      <w:widowControl/>
      <w:tabs>
        <w:tab w:val="left" w:pos="1984"/>
        <w:tab w:val="left" w:pos="2551"/>
      </w:tabs>
      <w:spacing w:before="120" w:after="120" w:line="360" w:lineRule="auto"/>
      <w:ind w:left="3118" w:hanging="1701"/>
    </w:pPr>
    <w:rPr>
      <w:rFonts w:eastAsia="Calibri"/>
      <w:szCs w:val="22"/>
      <w:lang w:eastAsia="en-US"/>
    </w:rPr>
  </w:style>
  <w:style w:type="paragraph" w:customStyle="1" w:styleId="PointTriple3">
    <w:name w:val="PointTriple 3"/>
    <w:basedOn w:val="Normal"/>
    <w:rsid w:val="00106A2A"/>
    <w:pPr>
      <w:widowControl/>
      <w:tabs>
        <w:tab w:val="left" w:pos="2551"/>
        <w:tab w:val="left" w:pos="3118"/>
      </w:tabs>
      <w:spacing w:before="120" w:after="120" w:line="360" w:lineRule="auto"/>
      <w:ind w:left="3685" w:hanging="1701"/>
    </w:pPr>
    <w:rPr>
      <w:rFonts w:eastAsia="Calibri"/>
      <w:szCs w:val="22"/>
      <w:lang w:eastAsia="en-US"/>
    </w:rPr>
  </w:style>
  <w:style w:type="paragraph" w:customStyle="1" w:styleId="PointTriple4">
    <w:name w:val="PointTriple 4"/>
    <w:basedOn w:val="Normal"/>
    <w:rsid w:val="00106A2A"/>
    <w:pPr>
      <w:widowControl/>
      <w:tabs>
        <w:tab w:val="left" w:pos="3118"/>
        <w:tab w:val="left" w:pos="3685"/>
      </w:tabs>
      <w:spacing w:before="120" w:after="120" w:line="360" w:lineRule="auto"/>
      <w:ind w:left="4252" w:hanging="1701"/>
    </w:pPr>
    <w:rPr>
      <w:rFonts w:eastAsia="Calibri"/>
      <w:szCs w:val="22"/>
      <w:lang w:eastAsia="en-US"/>
    </w:rPr>
  </w:style>
  <w:style w:type="paragraph" w:customStyle="1" w:styleId="PointTriple5">
    <w:name w:val="PointTriple 5"/>
    <w:basedOn w:val="Normal"/>
    <w:rsid w:val="00106A2A"/>
    <w:pPr>
      <w:widowControl/>
      <w:tabs>
        <w:tab w:val="left" w:pos="3685"/>
        <w:tab w:val="left" w:pos="4252"/>
      </w:tabs>
      <w:spacing w:before="120" w:after="120" w:line="360" w:lineRule="auto"/>
      <w:ind w:left="4819" w:hanging="1701"/>
    </w:pPr>
    <w:rPr>
      <w:rFonts w:eastAsia="Calibri"/>
      <w:szCs w:val="22"/>
      <w:lang w:eastAsia="en-US"/>
    </w:rPr>
  </w:style>
  <w:style w:type="paragraph" w:customStyle="1" w:styleId="Tiret0">
    <w:name w:val="Tiret 0"/>
    <w:basedOn w:val="Normal"/>
    <w:rsid w:val="00106A2A"/>
    <w:pPr>
      <w:widowControl/>
      <w:numPr>
        <w:numId w:val="4"/>
      </w:numPr>
      <w:tabs>
        <w:tab w:val="clear" w:pos="850"/>
        <w:tab w:val="num" w:pos="360"/>
      </w:tabs>
      <w:spacing w:before="120" w:after="120" w:line="360" w:lineRule="auto"/>
      <w:ind w:left="360" w:hanging="360"/>
    </w:pPr>
    <w:rPr>
      <w:rFonts w:eastAsia="Calibri"/>
      <w:szCs w:val="22"/>
      <w:lang w:eastAsia="en-US"/>
    </w:rPr>
  </w:style>
  <w:style w:type="paragraph" w:customStyle="1" w:styleId="Tiret1">
    <w:name w:val="Tiret 1"/>
    <w:basedOn w:val="Normal"/>
    <w:rsid w:val="00106A2A"/>
    <w:pPr>
      <w:widowControl/>
      <w:numPr>
        <w:numId w:val="5"/>
      </w:numPr>
      <w:tabs>
        <w:tab w:val="clear" w:pos="1417"/>
        <w:tab w:val="num" w:pos="360"/>
      </w:tabs>
      <w:spacing w:before="120" w:after="120" w:line="360" w:lineRule="auto"/>
      <w:ind w:left="360" w:hanging="360"/>
    </w:pPr>
    <w:rPr>
      <w:rFonts w:eastAsia="Calibri"/>
      <w:szCs w:val="22"/>
      <w:lang w:eastAsia="en-US"/>
    </w:rPr>
  </w:style>
  <w:style w:type="paragraph" w:customStyle="1" w:styleId="Tiret2">
    <w:name w:val="Tiret 2"/>
    <w:basedOn w:val="Normal"/>
    <w:rsid w:val="00106A2A"/>
    <w:pPr>
      <w:widowControl/>
      <w:numPr>
        <w:numId w:val="6"/>
      </w:numPr>
      <w:tabs>
        <w:tab w:val="clear" w:pos="1984"/>
        <w:tab w:val="num" w:pos="643"/>
      </w:tabs>
      <w:spacing w:before="120" w:after="120" w:line="360" w:lineRule="auto"/>
      <w:ind w:left="643" w:hanging="360"/>
    </w:pPr>
    <w:rPr>
      <w:rFonts w:eastAsia="Calibri"/>
      <w:szCs w:val="22"/>
      <w:lang w:eastAsia="en-US"/>
    </w:rPr>
  </w:style>
  <w:style w:type="paragraph" w:customStyle="1" w:styleId="Tiret3">
    <w:name w:val="Tiret 3"/>
    <w:basedOn w:val="Normal"/>
    <w:rsid w:val="00106A2A"/>
    <w:pPr>
      <w:widowControl/>
      <w:numPr>
        <w:numId w:val="7"/>
      </w:numPr>
      <w:tabs>
        <w:tab w:val="clear" w:pos="2551"/>
        <w:tab w:val="num" w:pos="643"/>
      </w:tabs>
      <w:spacing w:before="120" w:after="120" w:line="360" w:lineRule="auto"/>
      <w:ind w:left="643" w:hanging="360"/>
    </w:pPr>
    <w:rPr>
      <w:rFonts w:eastAsia="Calibri"/>
      <w:szCs w:val="22"/>
      <w:lang w:eastAsia="en-US"/>
    </w:rPr>
  </w:style>
  <w:style w:type="paragraph" w:customStyle="1" w:styleId="Tiret4">
    <w:name w:val="Tiret 4"/>
    <w:basedOn w:val="Normal"/>
    <w:rsid w:val="00106A2A"/>
    <w:pPr>
      <w:widowControl/>
      <w:numPr>
        <w:numId w:val="8"/>
      </w:numPr>
      <w:tabs>
        <w:tab w:val="clear" w:pos="3118"/>
        <w:tab w:val="num" w:pos="926"/>
      </w:tabs>
      <w:spacing w:before="120" w:after="120" w:line="360" w:lineRule="auto"/>
      <w:ind w:left="926" w:hanging="360"/>
    </w:pPr>
    <w:rPr>
      <w:rFonts w:eastAsia="Calibri"/>
      <w:szCs w:val="22"/>
      <w:lang w:eastAsia="en-US"/>
    </w:rPr>
  </w:style>
  <w:style w:type="paragraph" w:customStyle="1" w:styleId="Tiret5">
    <w:name w:val="Tiret 5"/>
    <w:basedOn w:val="Normal"/>
    <w:rsid w:val="00106A2A"/>
    <w:pPr>
      <w:widowControl/>
      <w:numPr>
        <w:numId w:val="9"/>
      </w:numPr>
      <w:tabs>
        <w:tab w:val="clear" w:pos="3685"/>
        <w:tab w:val="num" w:pos="926"/>
      </w:tabs>
      <w:spacing w:before="120" w:after="120" w:line="360" w:lineRule="auto"/>
      <w:ind w:left="926" w:hanging="360"/>
    </w:pPr>
    <w:rPr>
      <w:rFonts w:eastAsia="Calibri"/>
      <w:szCs w:val="22"/>
      <w:lang w:eastAsia="en-US"/>
    </w:rPr>
  </w:style>
  <w:style w:type="paragraph" w:customStyle="1" w:styleId="NumPar1">
    <w:name w:val="NumPar 1"/>
    <w:basedOn w:val="Normal"/>
    <w:next w:val="Text1"/>
    <w:qFormat/>
    <w:rsid w:val="00106A2A"/>
    <w:pPr>
      <w:widowControl/>
      <w:numPr>
        <w:numId w:val="10"/>
      </w:numPr>
      <w:tabs>
        <w:tab w:val="left" w:pos="850"/>
        <w:tab w:val="num" w:pos="1209"/>
      </w:tabs>
      <w:spacing w:before="120" w:after="120" w:line="360" w:lineRule="auto"/>
      <w:ind w:left="1209" w:hanging="360"/>
    </w:pPr>
    <w:rPr>
      <w:rFonts w:eastAsia="Calibri"/>
      <w:szCs w:val="22"/>
      <w:lang w:eastAsia="en-US"/>
    </w:rPr>
  </w:style>
  <w:style w:type="paragraph" w:customStyle="1" w:styleId="NumPar2">
    <w:name w:val="NumPar 2"/>
    <w:basedOn w:val="Normal"/>
    <w:next w:val="Text1"/>
    <w:rsid w:val="00106A2A"/>
    <w:pPr>
      <w:widowControl/>
      <w:numPr>
        <w:ilvl w:val="1"/>
        <w:numId w:val="10"/>
      </w:numPr>
      <w:tabs>
        <w:tab w:val="left" w:pos="850"/>
        <w:tab w:val="num" w:pos="1209"/>
      </w:tabs>
      <w:spacing w:before="120" w:after="120" w:line="360" w:lineRule="auto"/>
      <w:ind w:left="1209" w:hanging="360"/>
    </w:pPr>
    <w:rPr>
      <w:rFonts w:eastAsia="Calibri"/>
      <w:szCs w:val="22"/>
      <w:lang w:eastAsia="en-US"/>
    </w:rPr>
  </w:style>
  <w:style w:type="paragraph" w:customStyle="1" w:styleId="NumPar3">
    <w:name w:val="NumPar 3"/>
    <w:basedOn w:val="Normal"/>
    <w:next w:val="Text1"/>
    <w:rsid w:val="00106A2A"/>
    <w:pPr>
      <w:widowControl/>
      <w:numPr>
        <w:ilvl w:val="2"/>
        <w:numId w:val="10"/>
      </w:numPr>
      <w:tabs>
        <w:tab w:val="left" w:pos="850"/>
        <w:tab w:val="num" w:pos="1209"/>
      </w:tabs>
      <w:spacing w:before="120" w:after="120" w:line="360" w:lineRule="auto"/>
      <w:ind w:left="1209" w:hanging="360"/>
    </w:pPr>
    <w:rPr>
      <w:rFonts w:eastAsia="Calibri"/>
      <w:szCs w:val="22"/>
      <w:lang w:eastAsia="en-US"/>
    </w:rPr>
  </w:style>
  <w:style w:type="paragraph" w:customStyle="1" w:styleId="NumPar4">
    <w:name w:val="NumPar 4"/>
    <w:basedOn w:val="Normal"/>
    <w:next w:val="Text1"/>
    <w:rsid w:val="00106A2A"/>
    <w:pPr>
      <w:widowControl/>
      <w:numPr>
        <w:ilvl w:val="3"/>
        <w:numId w:val="10"/>
      </w:numPr>
      <w:tabs>
        <w:tab w:val="left" w:pos="850"/>
        <w:tab w:val="num" w:pos="1209"/>
      </w:tabs>
      <w:spacing w:before="120" w:after="120" w:line="360" w:lineRule="auto"/>
      <w:ind w:left="1209" w:hanging="360"/>
    </w:pPr>
    <w:rPr>
      <w:rFonts w:eastAsia="Calibri"/>
      <w:szCs w:val="22"/>
      <w:lang w:eastAsia="en-US"/>
    </w:rPr>
  </w:style>
  <w:style w:type="paragraph" w:customStyle="1" w:styleId="NumPar5">
    <w:name w:val="NumPar 5"/>
    <w:basedOn w:val="Normal"/>
    <w:next w:val="Text2"/>
    <w:rsid w:val="00106A2A"/>
    <w:pPr>
      <w:widowControl/>
      <w:numPr>
        <w:ilvl w:val="4"/>
        <w:numId w:val="10"/>
      </w:numPr>
      <w:tabs>
        <w:tab w:val="num" w:pos="1209"/>
        <w:tab w:val="left" w:pos="1417"/>
      </w:tabs>
      <w:spacing w:before="120" w:after="120" w:line="360" w:lineRule="auto"/>
      <w:ind w:left="1209" w:hanging="360"/>
    </w:pPr>
    <w:rPr>
      <w:rFonts w:eastAsia="Calibri"/>
      <w:szCs w:val="22"/>
      <w:lang w:eastAsia="en-US"/>
    </w:rPr>
  </w:style>
  <w:style w:type="paragraph" w:customStyle="1" w:styleId="NumPar6">
    <w:name w:val="NumPar 6"/>
    <w:basedOn w:val="Normal"/>
    <w:next w:val="Text2"/>
    <w:rsid w:val="00106A2A"/>
    <w:pPr>
      <w:widowControl/>
      <w:numPr>
        <w:ilvl w:val="5"/>
        <w:numId w:val="10"/>
      </w:numPr>
      <w:tabs>
        <w:tab w:val="num" w:pos="1209"/>
        <w:tab w:val="left" w:pos="1417"/>
      </w:tabs>
      <w:spacing w:before="120" w:after="120" w:line="360" w:lineRule="auto"/>
      <w:ind w:left="1209" w:hanging="360"/>
    </w:pPr>
    <w:rPr>
      <w:rFonts w:eastAsia="Calibri"/>
      <w:szCs w:val="22"/>
      <w:lang w:eastAsia="en-US"/>
    </w:rPr>
  </w:style>
  <w:style w:type="paragraph" w:customStyle="1" w:styleId="NumPar7">
    <w:name w:val="NumPar 7"/>
    <w:basedOn w:val="Normal"/>
    <w:next w:val="Text2"/>
    <w:rsid w:val="00106A2A"/>
    <w:pPr>
      <w:widowControl/>
      <w:numPr>
        <w:ilvl w:val="6"/>
        <w:numId w:val="10"/>
      </w:numPr>
      <w:tabs>
        <w:tab w:val="num" w:pos="1209"/>
        <w:tab w:val="left" w:pos="1417"/>
      </w:tabs>
      <w:spacing w:before="120" w:after="120" w:line="360" w:lineRule="auto"/>
      <w:ind w:left="1209" w:hanging="360"/>
    </w:pPr>
    <w:rPr>
      <w:rFonts w:eastAsia="Calibri"/>
      <w:szCs w:val="22"/>
      <w:lang w:eastAsia="en-US"/>
    </w:rPr>
  </w:style>
  <w:style w:type="paragraph" w:customStyle="1" w:styleId="ManualNumPar1">
    <w:name w:val="Manual NumPar 1"/>
    <w:basedOn w:val="Normal"/>
    <w:next w:val="Text1"/>
    <w:rsid w:val="00106A2A"/>
    <w:pPr>
      <w:widowControl/>
      <w:spacing w:before="120" w:after="120" w:line="360" w:lineRule="auto"/>
      <w:ind w:left="850" w:hanging="850"/>
    </w:pPr>
    <w:rPr>
      <w:rFonts w:eastAsia="Calibri"/>
      <w:szCs w:val="22"/>
      <w:lang w:eastAsia="en-US"/>
    </w:rPr>
  </w:style>
  <w:style w:type="paragraph" w:customStyle="1" w:styleId="ManualNumPar2">
    <w:name w:val="Manual NumPar 2"/>
    <w:basedOn w:val="Normal"/>
    <w:next w:val="Text1"/>
    <w:rsid w:val="00106A2A"/>
    <w:pPr>
      <w:widowControl/>
      <w:spacing w:before="120" w:after="120" w:line="360" w:lineRule="auto"/>
      <w:ind w:left="850" w:hanging="850"/>
    </w:pPr>
    <w:rPr>
      <w:rFonts w:eastAsia="Calibri"/>
      <w:szCs w:val="22"/>
      <w:lang w:eastAsia="en-US"/>
    </w:rPr>
  </w:style>
  <w:style w:type="paragraph" w:customStyle="1" w:styleId="ManualNumPar3">
    <w:name w:val="Manual NumPar 3"/>
    <w:basedOn w:val="Normal"/>
    <w:next w:val="Text1"/>
    <w:rsid w:val="00106A2A"/>
    <w:pPr>
      <w:widowControl/>
      <w:spacing w:before="120" w:after="120" w:line="360" w:lineRule="auto"/>
      <w:ind w:left="850" w:hanging="850"/>
    </w:pPr>
    <w:rPr>
      <w:rFonts w:eastAsia="Calibri"/>
      <w:szCs w:val="22"/>
      <w:lang w:eastAsia="en-US"/>
    </w:rPr>
  </w:style>
  <w:style w:type="paragraph" w:customStyle="1" w:styleId="ManualNumPar4">
    <w:name w:val="Manual NumPar 4"/>
    <w:basedOn w:val="Normal"/>
    <w:next w:val="Text1"/>
    <w:rsid w:val="00106A2A"/>
    <w:pPr>
      <w:widowControl/>
      <w:spacing w:before="120" w:after="120" w:line="360" w:lineRule="auto"/>
      <w:ind w:left="850" w:hanging="850"/>
    </w:pPr>
    <w:rPr>
      <w:rFonts w:eastAsia="Calibri"/>
      <w:szCs w:val="22"/>
      <w:lang w:eastAsia="en-US"/>
    </w:rPr>
  </w:style>
  <w:style w:type="paragraph" w:customStyle="1" w:styleId="ManualNumPar5">
    <w:name w:val="Manual NumPar 5"/>
    <w:basedOn w:val="Normal"/>
    <w:next w:val="Text2"/>
    <w:rsid w:val="00106A2A"/>
    <w:pPr>
      <w:widowControl/>
      <w:spacing w:before="120" w:after="120" w:line="360" w:lineRule="auto"/>
      <w:ind w:left="1417" w:hanging="1417"/>
    </w:pPr>
    <w:rPr>
      <w:rFonts w:eastAsia="Calibri"/>
      <w:szCs w:val="22"/>
      <w:lang w:eastAsia="en-US"/>
    </w:rPr>
  </w:style>
  <w:style w:type="paragraph" w:customStyle="1" w:styleId="ManualNumPar6">
    <w:name w:val="Manual NumPar 6"/>
    <w:basedOn w:val="Normal"/>
    <w:next w:val="Text2"/>
    <w:rsid w:val="00106A2A"/>
    <w:pPr>
      <w:widowControl/>
      <w:spacing w:before="120" w:after="120" w:line="360" w:lineRule="auto"/>
      <w:ind w:left="1417" w:hanging="1417"/>
    </w:pPr>
    <w:rPr>
      <w:rFonts w:eastAsia="Calibri"/>
      <w:szCs w:val="22"/>
      <w:lang w:eastAsia="en-US"/>
    </w:rPr>
  </w:style>
  <w:style w:type="paragraph" w:customStyle="1" w:styleId="ManualNumPar7">
    <w:name w:val="Manual NumPar 7"/>
    <w:basedOn w:val="Normal"/>
    <w:next w:val="Text2"/>
    <w:rsid w:val="00106A2A"/>
    <w:pPr>
      <w:widowControl/>
      <w:spacing w:before="120" w:after="120" w:line="360" w:lineRule="auto"/>
      <w:ind w:left="1417" w:hanging="1417"/>
    </w:pPr>
    <w:rPr>
      <w:rFonts w:eastAsia="Calibri"/>
      <w:szCs w:val="22"/>
      <w:lang w:eastAsia="en-US"/>
    </w:rPr>
  </w:style>
  <w:style w:type="paragraph" w:customStyle="1" w:styleId="QuotedNumPar">
    <w:name w:val="Quoted NumPar"/>
    <w:basedOn w:val="Normal"/>
    <w:rsid w:val="00106A2A"/>
    <w:pPr>
      <w:widowControl/>
      <w:spacing w:before="120" w:after="120" w:line="360" w:lineRule="auto"/>
      <w:ind w:left="1417" w:hanging="567"/>
    </w:pPr>
    <w:rPr>
      <w:rFonts w:eastAsia="Calibri"/>
      <w:szCs w:val="22"/>
      <w:lang w:eastAsia="en-US"/>
    </w:rPr>
  </w:style>
  <w:style w:type="paragraph" w:customStyle="1" w:styleId="ManualHeading1">
    <w:name w:val="Manual Heading 1"/>
    <w:basedOn w:val="Normal"/>
    <w:next w:val="Text1"/>
    <w:rsid w:val="00106A2A"/>
    <w:pPr>
      <w:keepNext/>
      <w:widowControl/>
      <w:tabs>
        <w:tab w:val="left" w:pos="850"/>
      </w:tabs>
      <w:spacing w:before="360" w:after="120" w:line="360" w:lineRule="auto"/>
      <w:ind w:left="850" w:hanging="850"/>
      <w:outlineLvl w:val="0"/>
    </w:pPr>
    <w:rPr>
      <w:rFonts w:eastAsia="Calibri"/>
      <w:b/>
      <w:smallCaps/>
      <w:szCs w:val="22"/>
      <w:lang w:eastAsia="en-US"/>
    </w:rPr>
  </w:style>
  <w:style w:type="paragraph" w:customStyle="1" w:styleId="ManualHeading2">
    <w:name w:val="Manual Heading 2"/>
    <w:basedOn w:val="Normal"/>
    <w:next w:val="Text1"/>
    <w:rsid w:val="00106A2A"/>
    <w:pPr>
      <w:keepNext/>
      <w:widowControl/>
      <w:tabs>
        <w:tab w:val="left" w:pos="850"/>
      </w:tabs>
      <w:spacing w:before="120" w:after="120" w:line="360" w:lineRule="auto"/>
      <w:ind w:left="850" w:hanging="850"/>
      <w:outlineLvl w:val="1"/>
    </w:pPr>
    <w:rPr>
      <w:rFonts w:eastAsia="Calibri"/>
      <w:b/>
      <w:szCs w:val="22"/>
      <w:lang w:eastAsia="en-US"/>
    </w:rPr>
  </w:style>
  <w:style w:type="paragraph" w:customStyle="1" w:styleId="ManualHeading3">
    <w:name w:val="Manual Heading 3"/>
    <w:basedOn w:val="Normal"/>
    <w:next w:val="Text1"/>
    <w:rsid w:val="00106A2A"/>
    <w:pPr>
      <w:keepNext/>
      <w:widowControl/>
      <w:tabs>
        <w:tab w:val="left" w:pos="850"/>
      </w:tabs>
      <w:spacing w:before="120" w:after="120" w:line="360" w:lineRule="auto"/>
      <w:ind w:left="850" w:hanging="850"/>
      <w:outlineLvl w:val="2"/>
    </w:pPr>
    <w:rPr>
      <w:rFonts w:eastAsia="Calibri"/>
      <w:i/>
      <w:szCs w:val="22"/>
      <w:lang w:eastAsia="en-US"/>
    </w:rPr>
  </w:style>
  <w:style w:type="paragraph" w:customStyle="1" w:styleId="ManualHeading4">
    <w:name w:val="Manual Heading 4"/>
    <w:basedOn w:val="Normal"/>
    <w:next w:val="Text1"/>
    <w:rsid w:val="00106A2A"/>
    <w:pPr>
      <w:keepNext/>
      <w:widowControl/>
      <w:tabs>
        <w:tab w:val="left" w:pos="850"/>
      </w:tabs>
      <w:spacing w:before="120" w:after="120" w:line="360" w:lineRule="auto"/>
      <w:ind w:left="850" w:hanging="850"/>
      <w:outlineLvl w:val="3"/>
    </w:pPr>
    <w:rPr>
      <w:rFonts w:eastAsia="Calibri"/>
      <w:szCs w:val="22"/>
      <w:lang w:eastAsia="en-US"/>
    </w:rPr>
  </w:style>
  <w:style w:type="paragraph" w:customStyle="1" w:styleId="ManualHeading5">
    <w:name w:val="Manual Heading 5"/>
    <w:basedOn w:val="Normal"/>
    <w:next w:val="Text1"/>
    <w:rsid w:val="00106A2A"/>
    <w:pPr>
      <w:keepNext/>
      <w:widowControl/>
      <w:tabs>
        <w:tab w:val="left" w:pos="850"/>
      </w:tabs>
      <w:spacing w:before="120" w:after="120" w:line="360" w:lineRule="auto"/>
      <w:ind w:left="850" w:hanging="850"/>
      <w:outlineLvl w:val="4"/>
    </w:pPr>
    <w:rPr>
      <w:rFonts w:eastAsia="Calibri"/>
      <w:szCs w:val="22"/>
      <w:lang w:eastAsia="en-US"/>
    </w:rPr>
  </w:style>
  <w:style w:type="paragraph" w:customStyle="1" w:styleId="ManualHeading6">
    <w:name w:val="Manual Heading 6"/>
    <w:basedOn w:val="Normal"/>
    <w:next w:val="Text1"/>
    <w:rsid w:val="00106A2A"/>
    <w:pPr>
      <w:keepNext/>
      <w:widowControl/>
      <w:tabs>
        <w:tab w:val="left" w:pos="850"/>
      </w:tabs>
      <w:spacing w:before="120" w:after="120" w:line="360" w:lineRule="auto"/>
      <w:ind w:left="850" w:hanging="850"/>
      <w:outlineLvl w:val="5"/>
    </w:pPr>
    <w:rPr>
      <w:rFonts w:eastAsia="Calibri"/>
      <w:szCs w:val="22"/>
      <w:lang w:eastAsia="en-US"/>
    </w:rPr>
  </w:style>
  <w:style w:type="paragraph" w:customStyle="1" w:styleId="ManualHeading7">
    <w:name w:val="Manual Heading 7"/>
    <w:basedOn w:val="Normal"/>
    <w:next w:val="Text1"/>
    <w:rsid w:val="00106A2A"/>
    <w:pPr>
      <w:keepNext/>
      <w:widowControl/>
      <w:tabs>
        <w:tab w:val="left" w:pos="850"/>
      </w:tabs>
      <w:spacing w:before="120" w:after="120" w:line="360" w:lineRule="auto"/>
      <w:ind w:left="850" w:hanging="850"/>
      <w:outlineLvl w:val="6"/>
    </w:pPr>
    <w:rPr>
      <w:rFonts w:eastAsia="Calibri"/>
      <w:szCs w:val="22"/>
      <w:lang w:eastAsia="en-US"/>
    </w:rPr>
  </w:style>
  <w:style w:type="paragraph" w:customStyle="1" w:styleId="ChapterTitle">
    <w:name w:val="ChapterTitle"/>
    <w:basedOn w:val="Normal"/>
    <w:next w:val="Normal"/>
    <w:rsid w:val="00106A2A"/>
    <w:pPr>
      <w:keepNext/>
      <w:widowControl/>
      <w:spacing w:before="120" w:after="360" w:line="360" w:lineRule="auto"/>
      <w:jc w:val="center"/>
    </w:pPr>
    <w:rPr>
      <w:rFonts w:eastAsia="Calibri"/>
      <w:b/>
      <w:sz w:val="32"/>
      <w:szCs w:val="22"/>
      <w:lang w:eastAsia="en-US"/>
    </w:rPr>
  </w:style>
  <w:style w:type="paragraph" w:customStyle="1" w:styleId="PartTitle">
    <w:name w:val="PartTitle"/>
    <w:basedOn w:val="Normal"/>
    <w:next w:val="ChapterTitle"/>
    <w:rsid w:val="00106A2A"/>
    <w:pPr>
      <w:keepNext/>
      <w:pageBreakBefore/>
      <w:widowControl/>
      <w:spacing w:before="120" w:after="360" w:line="360" w:lineRule="auto"/>
      <w:jc w:val="center"/>
    </w:pPr>
    <w:rPr>
      <w:rFonts w:eastAsia="Calibri"/>
      <w:b/>
      <w:sz w:val="36"/>
      <w:szCs w:val="22"/>
      <w:lang w:eastAsia="en-US"/>
    </w:rPr>
  </w:style>
  <w:style w:type="paragraph" w:customStyle="1" w:styleId="SectionTitle">
    <w:name w:val="SectionTitle"/>
    <w:basedOn w:val="Normal"/>
    <w:next w:val="Heading1"/>
    <w:rsid w:val="00106A2A"/>
    <w:pPr>
      <w:keepNext/>
      <w:widowControl/>
      <w:spacing w:before="120" w:after="360" w:line="360" w:lineRule="auto"/>
      <w:jc w:val="center"/>
    </w:pPr>
    <w:rPr>
      <w:rFonts w:eastAsia="Calibri"/>
      <w:b/>
      <w:smallCaps/>
      <w:sz w:val="28"/>
      <w:szCs w:val="22"/>
      <w:lang w:eastAsia="en-US"/>
    </w:rPr>
  </w:style>
  <w:style w:type="paragraph" w:customStyle="1" w:styleId="TableTitle">
    <w:name w:val="Table Title"/>
    <w:basedOn w:val="Normal"/>
    <w:next w:val="Normal"/>
    <w:rsid w:val="00106A2A"/>
    <w:pPr>
      <w:widowControl/>
      <w:spacing w:before="120" w:after="120" w:line="360" w:lineRule="auto"/>
      <w:jc w:val="center"/>
    </w:pPr>
    <w:rPr>
      <w:rFonts w:eastAsia="Calibri"/>
      <w:b/>
      <w:szCs w:val="22"/>
      <w:lang w:eastAsia="en-US"/>
    </w:rPr>
  </w:style>
  <w:style w:type="paragraph" w:customStyle="1" w:styleId="Point0number">
    <w:name w:val="Point 0 (number)"/>
    <w:basedOn w:val="Normal"/>
    <w:qFormat/>
    <w:rsid w:val="00106A2A"/>
    <w:pPr>
      <w:widowControl/>
      <w:numPr>
        <w:numId w:val="11"/>
      </w:numPr>
      <w:tabs>
        <w:tab w:val="clear" w:pos="850"/>
        <w:tab w:val="num" w:pos="1492"/>
      </w:tabs>
      <w:spacing w:before="120" w:after="120" w:line="360" w:lineRule="auto"/>
      <w:ind w:left="1492" w:hanging="360"/>
    </w:pPr>
    <w:rPr>
      <w:rFonts w:eastAsia="Calibri"/>
      <w:szCs w:val="22"/>
      <w:lang w:eastAsia="en-US"/>
    </w:rPr>
  </w:style>
  <w:style w:type="paragraph" w:customStyle="1" w:styleId="Point1number">
    <w:name w:val="Point 1 (number)"/>
    <w:basedOn w:val="Normal"/>
    <w:rsid w:val="00106A2A"/>
    <w:pPr>
      <w:widowControl/>
      <w:numPr>
        <w:ilvl w:val="2"/>
        <w:numId w:val="11"/>
      </w:numPr>
      <w:tabs>
        <w:tab w:val="clear" w:pos="1417"/>
        <w:tab w:val="num" w:pos="1492"/>
      </w:tabs>
      <w:spacing w:before="120" w:after="120" w:line="360" w:lineRule="auto"/>
      <w:ind w:left="1492" w:hanging="360"/>
    </w:pPr>
    <w:rPr>
      <w:rFonts w:eastAsia="Calibri"/>
      <w:szCs w:val="22"/>
      <w:lang w:eastAsia="en-US"/>
    </w:rPr>
  </w:style>
  <w:style w:type="paragraph" w:customStyle="1" w:styleId="Point2number">
    <w:name w:val="Point 2 (number)"/>
    <w:basedOn w:val="Normal"/>
    <w:qFormat/>
    <w:rsid w:val="00106A2A"/>
    <w:pPr>
      <w:widowControl/>
      <w:numPr>
        <w:ilvl w:val="4"/>
        <w:numId w:val="11"/>
      </w:numPr>
      <w:tabs>
        <w:tab w:val="clear" w:pos="1984"/>
        <w:tab w:val="num" w:pos="1492"/>
      </w:tabs>
      <w:spacing w:before="120" w:after="120" w:line="360" w:lineRule="auto"/>
      <w:ind w:left="1492" w:hanging="360"/>
    </w:pPr>
    <w:rPr>
      <w:rFonts w:eastAsia="Calibri"/>
      <w:szCs w:val="22"/>
      <w:lang w:eastAsia="en-US"/>
    </w:rPr>
  </w:style>
  <w:style w:type="paragraph" w:customStyle="1" w:styleId="Point3number">
    <w:name w:val="Point 3 (number)"/>
    <w:basedOn w:val="Normal"/>
    <w:rsid w:val="00106A2A"/>
    <w:pPr>
      <w:widowControl/>
      <w:numPr>
        <w:ilvl w:val="6"/>
        <w:numId w:val="11"/>
      </w:numPr>
      <w:tabs>
        <w:tab w:val="clear" w:pos="2551"/>
        <w:tab w:val="num" w:pos="1492"/>
      </w:tabs>
      <w:spacing w:before="120" w:after="120" w:line="360" w:lineRule="auto"/>
      <w:ind w:left="1492" w:hanging="360"/>
    </w:pPr>
    <w:rPr>
      <w:rFonts w:eastAsia="Calibri"/>
      <w:szCs w:val="22"/>
      <w:lang w:eastAsia="en-US"/>
    </w:rPr>
  </w:style>
  <w:style w:type="paragraph" w:customStyle="1" w:styleId="Point0letter">
    <w:name w:val="Point 0 (letter)"/>
    <w:basedOn w:val="Normal"/>
    <w:rsid w:val="00106A2A"/>
    <w:pPr>
      <w:widowControl/>
      <w:numPr>
        <w:ilvl w:val="1"/>
        <w:numId w:val="11"/>
      </w:numPr>
      <w:tabs>
        <w:tab w:val="clear" w:pos="850"/>
        <w:tab w:val="num" w:pos="1492"/>
      </w:tabs>
      <w:spacing w:before="120" w:after="120" w:line="360" w:lineRule="auto"/>
      <w:ind w:left="1492" w:hanging="360"/>
    </w:pPr>
    <w:rPr>
      <w:rFonts w:eastAsia="Calibri"/>
      <w:szCs w:val="22"/>
      <w:lang w:eastAsia="en-US"/>
    </w:rPr>
  </w:style>
  <w:style w:type="paragraph" w:customStyle="1" w:styleId="Point1letter">
    <w:name w:val="Point 1 (letter)"/>
    <w:basedOn w:val="Normal"/>
    <w:qFormat/>
    <w:rsid w:val="00106A2A"/>
    <w:pPr>
      <w:widowControl/>
      <w:numPr>
        <w:ilvl w:val="3"/>
        <w:numId w:val="11"/>
      </w:numPr>
      <w:tabs>
        <w:tab w:val="clear" w:pos="1417"/>
        <w:tab w:val="num" w:pos="1492"/>
      </w:tabs>
      <w:spacing w:before="120" w:after="120" w:line="360" w:lineRule="auto"/>
      <w:ind w:left="1492" w:hanging="360"/>
    </w:pPr>
    <w:rPr>
      <w:rFonts w:eastAsia="Calibri"/>
      <w:szCs w:val="22"/>
      <w:lang w:eastAsia="en-US"/>
    </w:rPr>
  </w:style>
  <w:style w:type="paragraph" w:customStyle="1" w:styleId="Point2letter">
    <w:name w:val="Point 2 (letter)"/>
    <w:basedOn w:val="Normal"/>
    <w:rsid w:val="00106A2A"/>
    <w:pPr>
      <w:widowControl/>
      <w:numPr>
        <w:ilvl w:val="5"/>
        <w:numId w:val="11"/>
      </w:numPr>
      <w:tabs>
        <w:tab w:val="clear" w:pos="1984"/>
        <w:tab w:val="num" w:pos="1492"/>
      </w:tabs>
      <w:spacing w:before="120" w:after="120" w:line="360" w:lineRule="auto"/>
      <w:ind w:left="1492" w:hanging="360"/>
    </w:pPr>
    <w:rPr>
      <w:rFonts w:eastAsia="Calibri"/>
      <w:szCs w:val="22"/>
      <w:lang w:eastAsia="en-US"/>
    </w:rPr>
  </w:style>
  <w:style w:type="paragraph" w:customStyle="1" w:styleId="Point3letter">
    <w:name w:val="Point 3 (letter)"/>
    <w:basedOn w:val="Normal"/>
    <w:rsid w:val="00106A2A"/>
    <w:pPr>
      <w:widowControl/>
      <w:numPr>
        <w:ilvl w:val="7"/>
        <w:numId w:val="11"/>
      </w:numPr>
      <w:tabs>
        <w:tab w:val="clear" w:pos="2551"/>
        <w:tab w:val="num" w:pos="1492"/>
      </w:tabs>
      <w:spacing w:before="120" w:after="120" w:line="360" w:lineRule="auto"/>
      <w:ind w:left="1492" w:hanging="360"/>
    </w:pPr>
    <w:rPr>
      <w:rFonts w:eastAsia="Calibri"/>
      <w:szCs w:val="22"/>
      <w:lang w:eastAsia="en-US"/>
    </w:rPr>
  </w:style>
  <w:style w:type="paragraph" w:customStyle="1" w:styleId="Point4letter">
    <w:name w:val="Point 4 (letter)"/>
    <w:basedOn w:val="Normal"/>
    <w:rsid w:val="00106A2A"/>
    <w:pPr>
      <w:widowControl/>
      <w:numPr>
        <w:ilvl w:val="8"/>
        <w:numId w:val="11"/>
      </w:numPr>
      <w:tabs>
        <w:tab w:val="clear" w:pos="3118"/>
        <w:tab w:val="num" w:pos="1492"/>
      </w:tabs>
      <w:spacing w:before="120" w:after="120" w:line="360" w:lineRule="auto"/>
      <w:ind w:left="1492" w:hanging="360"/>
    </w:pPr>
    <w:rPr>
      <w:rFonts w:eastAsia="Calibri"/>
      <w:szCs w:val="22"/>
      <w:lang w:eastAsia="en-US"/>
    </w:rPr>
  </w:style>
  <w:style w:type="paragraph" w:customStyle="1" w:styleId="Bullet0">
    <w:name w:val="Bullet 0"/>
    <w:basedOn w:val="Normal"/>
    <w:rsid w:val="00106A2A"/>
    <w:pPr>
      <w:widowControl/>
      <w:numPr>
        <w:numId w:val="12"/>
      </w:numPr>
      <w:tabs>
        <w:tab w:val="clear" w:pos="850"/>
        <w:tab w:val="num" w:pos="1492"/>
      </w:tabs>
      <w:spacing w:before="120" w:after="120" w:line="360" w:lineRule="auto"/>
      <w:ind w:left="1492" w:hanging="360"/>
    </w:pPr>
    <w:rPr>
      <w:rFonts w:eastAsia="Calibri"/>
      <w:szCs w:val="22"/>
      <w:lang w:eastAsia="en-US"/>
    </w:rPr>
  </w:style>
  <w:style w:type="paragraph" w:customStyle="1" w:styleId="Bullet1">
    <w:name w:val="Bullet 1"/>
    <w:basedOn w:val="Normal"/>
    <w:rsid w:val="00106A2A"/>
    <w:pPr>
      <w:widowControl/>
      <w:numPr>
        <w:numId w:val="13"/>
      </w:numPr>
      <w:tabs>
        <w:tab w:val="clear" w:pos="1417"/>
        <w:tab w:val="num" w:pos="360"/>
      </w:tabs>
      <w:spacing w:before="120" w:after="120" w:line="360" w:lineRule="auto"/>
      <w:ind w:left="360" w:hanging="360"/>
    </w:pPr>
    <w:rPr>
      <w:rFonts w:eastAsia="Calibri"/>
      <w:szCs w:val="22"/>
      <w:lang w:eastAsia="en-US"/>
    </w:rPr>
  </w:style>
  <w:style w:type="paragraph" w:customStyle="1" w:styleId="Bullet2">
    <w:name w:val="Bullet 2"/>
    <w:basedOn w:val="Normal"/>
    <w:rsid w:val="00106A2A"/>
    <w:pPr>
      <w:widowControl/>
      <w:numPr>
        <w:numId w:val="14"/>
      </w:numPr>
      <w:tabs>
        <w:tab w:val="clear" w:pos="1984"/>
        <w:tab w:val="num" w:pos="360"/>
      </w:tabs>
      <w:spacing w:before="120" w:after="120" w:line="360" w:lineRule="auto"/>
      <w:ind w:left="360" w:hanging="360"/>
    </w:pPr>
    <w:rPr>
      <w:rFonts w:eastAsia="Calibri"/>
      <w:szCs w:val="22"/>
      <w:lang w:eastAsia="en-US"/>
    </w:rPr>
  </w:style>
  <w:style w:type="paragraph" w:customStyle="1" w:styleId="Bullet3">
    <w:name w:val="Bullet 3"/>
    <w:basedOn w:val="Normal"/>
    <w:rsid w:val="00106A2A"/>
    <w:pPr>
      <w:widowControl/>
      <w:numPr>
        <w:numId w:val="15"/>
      </w:numPr>
      <w:tabs>
        <w:tab w:val="clear" w:pos="2551"/>
        <w:tab w:val="num" w:pos="643"/>
      </w:tabs>
      <w:spacing w:before="120" w:after="120" w:line="360" w:lineRule="auto"/>
      <w:ind w:left="643" w:hanging="360"/>
    </w:pPr>
    <w:rPr>
      <w:rFonts w:eastAsia="Calibri"/>
      <w:szCs w:val="22"/>
      <w:lang w:eastAsia="en-US"/>
    </w:rPr>
  </w:style>
  <w:style w:type="paragraph" w:customStyle="1" w:styleId="Bullet4">
    <w:name w:val="Bullet 4"/>
    <w:basedOn w:val="Normal"/>
    <w:rsid w:val="00106A2A"/>
    <w:pPr>
      <w:widowControl/>
      <w:numPr>
        <w:numId w:val="16"/>
      </w:numPr>
      <w:tabs>
        <w:tab w:val="clear" w:pos="3118"/>
        <w:tab w:val="num" w:pos="643"/>
      </w:tabs>
      <w:spacing w:before="120" w:after="120" w:line="360" w:lineRule="auto"/>
      <w:ind w:left="643" w:hanging="360"/>
    </w:pPr>
    <w:rPr>
      <w:rFonts w:eastAsia="Calibri"/>
      <w:szCs w:val="22"/>
      <w:lang w:eastAsia="en-US"/>
    </w:rPr>
  </w:style>
  <w:style w:type="paragraph" w:customStyle="1" w:styleId="Bullet5">
    <w:name w:val="Bullet 5"/>
    <w:basedOn w:val="Normal"/>
    <w:rsid w:val="00106A2A"/>
    <w:pPr>
      <w:widowControl/>
      <w:numPr>
        <w:numId w:val="17"/>
      </w:numPr>
      <w:tabs>
        <w:tab w:val="clear" w:pos="3685"/>
        <w:tab w:val="num" w:pos="926"/>
      </w:tabs>
      <w:spacing w:before="120" w:after="120" w:line="360" w:lineRule="auto"/>
      <w:ind w:left="926" w:hanging="360"/>
    </w:pPr>
    <w:rPr>
      <w:rFonts w:eastAsia="Calibri"/>
      <w:szCs w:val="22"/>
      <w:lang w:eastAsia="en-US"/>
    </w:rPr>
  </w:style>
  <w:style w:type="paragraph" w:customStyle="1" w:styleId="Annexetitreacte">
    <w:name w:val="Annexe titre (acte)"/>
    <w:basedOn w:val="Normal"/>
    <w:next w:val="Normal"/>
    <w:rsid w:val="00106A2A"/>
    <w:pPr>
      <w:widowControl/>
      <w:spacing w:before="120" w:after="120" w:line="360" w:lineRule="auto"/>
      <w:jc w:val="center"/>
    </w:pPr>
    <w:rPr>
      <w:rFonts w:eastAsia="Calibri"/>
      <w:b/>
      <w:szCs w:val="22"/>
      <w:u w:val="single"/>
      <w:lang w:eastAsia="en-US"/>
    </w:rPr>
  </w:style>
  <w:style w:type="paragraph" w:customStyle="1" w:styleId="Annexetitreglobale">
    <w:name w:val="Annexe titre (globale)"/>
    <w:basedOn w:val="Normal"/>
    <w:next w:val="Normal"/>
    <w:rsid w:val="00106A2A"/>
    <w:pPr>
      <w:widowControl/>
      <w:spacing w:before="120" w:after="120" w:line="360" w:lineRule="auto"/>
      <w:jc w:val="center"/>
    </w:pPr>
    <w:rPr>
      <w:rFonts w:eastAsia="Calibri"/>
      <w:b/>
      <w:szCs w:val="22"/>
      <w:u w:val="single"/>
      <w:lang w:eastAsia="en-US"/>
    </w:rPr>
  </w:style>
  <w:style w:type="paragraph" w:customStyle="1" w:styleId="Applicationdirecte">
    <w:name w:val="Application directe"/>
    <w:basedOn w:val="Normal"/>
    <w:next w:val="Fait"/>
    <w:rsid w:val="00106A2A"/>
    <w:pPr>
      <w:widowControl/>
      <w:spacing w:before="480" w:after="120" w:line="360" w:lineRule="auto"/>
    </w:pPr>
    <w:rPr>
      <w:rFonts w:eastAsia="Calibri"/>
      <w:szCs w:val="22"/>
      <w:lang w:eastAsia="en-US"/>
    </w:rPr>
  </w:style>
  <w:style w:type="paragraph" w:customStyle="1" w:styleId="Considrant">
    <w:name w:val="Considérant"/>
    <w:basedOn w:val="Normal"/>
    <w:rsid w:val="00106A2A"/>
    <w:pPr>
      <w:widowControl/>
      <w:tabs>
        <w:tab w:val="num" w:pos="850"/>
      </w:tabs>
      <w:spacing w:before="120" w:after="120" w:line="360" w:lineRule="auto"/>
      <w:ind w:left="850" w:hanging="850"/>
    </w:pPr>
    <w:rPr>
      <w:rFonts w:eastAsia="Calibri"/>
      <w:szCs w:val="22"/>
      <w:lang w:eastAsia="en-US"/>
    </w:rPr>
  </w:style>
  <w:style w:type="paragraph" w:customStyle="1" w:styleId="Datedadoption">
    <w:name w:val="Date d'adoption"/>
    <w:basedOn w:val="Normal"/>
    <w:next w:val="Titreobjet"/>
    <w:rsid w:val="00106A2A"/>
    <w:pPr>
      <w:widowControl/>
      <w:spacing w:before="360" w:line="360" w:lineRule="auto"/>
      <w:jc w:val="center"/>
    </w:pPr>
    <w:rPr>
      <w:rFonts w:eastAsia="Calibri"/>
      <w:b/>
      <w:szCs w:val="22"/>
      <w:lang w:eastAsia="en-US"/>
    </w:rPr>
  </w:style>
  <w:style w:type="paragraph" w:customStyle="1" w:styleId="Fait">
    <w:name w:val="Fait à"/>
    <w:basedOn w:val="Normal"/>
    <w:next w:val="Institutionquisigne"/>
    <w:rsid w:val="00106A2A"/>
    <w:pPr>
      <w:keepNext/>
      <w:widowControl/>
      <w:spacing w:before="120" w:line="360" w:lineRule="auto"/>
    </w:pPr>
    <w:rPr>
      <w:rFonts w:eastAsia="Calibri"/>
      <w:szCs w:val="22"/>
      <w:lang w:eastAsia="en-US"/>
    </w:rPr>
  </w:style>
  <w:style w:type="paragraph" w:customStyle="1" w:styleId="Formuledadoption">
    <w:name w:val="Formule d'adoption"/>
    <w:basedOn w:val="Normal"/>
    <w:next w:val="Titrearticle"/>
    <w:rsid w:val="00106A2A"/>
    <w:pPr>
      <w:keepNext/>
      <w:widowControl/>
      <w:spacing w:before="120" w:after="120" w:line="360" w:lineRule="auto"/>
    </w:pPr>
    <w:rPr>
      <w:rFonts w:eastAsia="Calibri"/>
      <w:szCs w:val="22"/>
      <w:lang w:eastAsia="en-US"/>
    </w:rPr>
  </w:style>
  <w:style w:type="paragraph" w:customStyle="1" w:styleId="Institutionquiagit">
    <w:name w:val="Institution qui agit"/>
    <w:basedOn w:val="Normal"/>
    <w:next w:val="Normal"/>
    <w:rsid w:val="00106A2A"/>
    <w:pPr>
      <w:keepNext/>
      <w:widowControl/>
      <w:spacing w:before="600" w:after="120" w:line="360" w:lineRule="auto"/>
    </w:pPr>
    <w:rPr>
      <w:rFonts w:eastAsia="Calibri"/>
      <w:szCs w:val="22"/>
      <w:lang w:eastAsia="en-US"/>
    </w:rPr>
  </w:style>
  <w:style w:type="paragraph" w:customStyle="1" w:styleId="Institutionquisigne">
    <w:name w:val="Institution qui signe"/>
    <w:basedOn w:val="Normal"/>
    <w:next w:val="Personnequisigne"/>
    <w:rsid w:val="00106A2A"/>
    <w:pPr>
      <w:keepNext/>
      <w:widowControl/>
      <w:tabs>
        <w:tab w:val="left" w:pos="5669"/>
      </w:tabs>
      <w:spacing w:before="720" w:line="360" w:lineRule="auto"/>
    </w:pPr>
    <w:rPr>
      <w:rFonts w:eastAsia="Calibri"/>
      <w:i/>
      <w:szCs w:val="22"/>
      <w:lang w:eastAsia="en-US"/>
    </w:rPr>
  </w:style>
  <w:style w:type="paragraph" w:customStyle="1" w:styleId="ManualConsidrant">
    <w:name w:val="Manual Considérant"/>
    <w:basedOn w:val="Normal"/>
    <w:rsid w:val="00106A2A"/>
    <w:pPr>
      <w:widowControl/>
      <w:spacing w:before="120" w:after="120" w:line="360" w:lineRule="auto"/>
      <w:ind w:left="850" w:hanging="850"/>
    </w:pPr>
    <w:rPr>
      <w:rFonts w:eastAsia="Calibri"/>
      <w:szCs w:val="22"/>
      <w:lang w:eastAsia="en-US"/>
    </w:rPr>
  </w:style>
  <w:style w:type="paragraph" w:customStyle="1" w:styleId="Personnequisigne">
    <w:name w:val="Personne qui signe"/>
    <w:basedOn w:val="Normal"/>
    <w:next w:val="Institutionquisigne"/>
    <w:rsid w:val="00106A2A"/>
    <w:pPr>
      <w:widowControl/>
      <w:tabs>
        <w:tab w:val="left" w:pos="5669"/>
      </w:tabs>
      <w:spacing w:line="360" w:lineRule="auto"/>
    </w:pPr>
    <w:rPr>
      <w:rFonts w:eastAsia="Calibri"/>
      <w:i/>
      <w:szCs w:val="22"/>
      <w:lang w:eastAsia="en-US"/>
    </w:rPr>
  </w:style>
  <w:style w:type="paragraph" w:customStyle="1" w:styleId="Sous-titreobjet">
    <w:name w:val="Sous-titre objet"/>
    <w:basedOn w:val="Normal"/>
    <w:rsid w:val="00106A2A"/>
    <w:pPr>
      <w:widowControl/>
      <w:spacing w:line="360" w:lineRule="auto"/>
      <w:jc w:val="center"/>
    </w:pPr>
    <w:rPr>
      <w:rFonts w:eastAsia="Calibri"/>
      <w:b/>
      <w:szCs w:val="22"/>
      <w:lang w:eastAsia="en-US"/>
    </w:rPr>
  </w:style>
  <w:style w:type="paragraph" w:customStyle="1" w:styleId="Statut">
    <w:name w:val="Statut"/>
    <w:basedOn w:val="Normal"/>
    <w:next w:val="Typedudocument"/>
    <w:rsid w:val="00106A2A"/>
    <w:pPr>
      <w:widowControl/>
      <w:spacing w:before="360" w:line="360" w:lineRule="auto"/>
      <w:jc w:val="center"/>
    </w:pPr>
    <w:rPr>
      <w:rFonts w:eastAsia="Calibri"/>
      <w:szCs w:val="22"/>
      <w:lang w:eastAsia="en-US"/>
    </w:rPr>
  </w:style>
  <w:style w:type="paragraph" w:customStyle="1" w:styleId="Titrearticle">
    <w:name w:val="Titre article"/>
    <w:basedOn w:val="Normal"/>
    <w:next w:val="Normal"/>
    <w:rsid w:val="00106A2A"/>
    <w:pPr>
      <w:keepNext/>
      <w:widowControl/>
      <w:spacing w:before="360" w:after="120" w:line="360" w:lineRule="auto"/>
      <w:jc w:val="center"/>
    </w:pPr>
    <w:rPr>
      <w:rFonts w:eastAsia="Calibri"/>
      <w:i/>
      <w:szCs w:val="22"/>
      <w:lang w:eastAsia="en-US"/>
    </w:rPr>
  </w:style>
  <w:style w:type="paragraph" w:customStyle="1" w:styleId="Titreobjet">
    <w:name w:val="Titre objet"/>
    <w:basedOn w:val="Normal"/>
    <w:next w:val="Sous-titreobjet"/>
    <w:rsid w:val="00106A2A"/>
    <w:pPr>
      <w:widowControl/>
      <w:spacing w:before="360" w:after="360" w:line="360" w:lineRule="auto"/>
      <w:jc w:val="center"/>
    </w:pPr>
    <w:rPr>
      <w:rFonts w:eastAsia="Calibri"/>
      <w:b/>
      <w:szCs w:val="22"/>
      <w:lang w:eastAsia="en-US"/>
    </w:rPr>
  </w:style>
  <w:style w:type="paragraph" w:customStyle="1" w:styleId="Typedudocument">
    <w:name w:val="Type du document"/>
    <w:basedOn w:val="Normal"/>
    <w:next w:val="Datedadoption"/>
    <w:rsid w:val="00106A2A"/>
    <w:pPr>
      <w:widowControl/>
      <w:spacing w:before="360" w:line="360" w:lineRule="auto"/>
      <w:jc w:val="center"/>
    </w:pPr>
    <w:rPr>
      <w:rFonts w:eastAsia="Calibri"/>
      <w:b/>
      <w:szCs w:val="22"/>
      <w:lang w:eastAsia="en-US"/>
    </w:rPr>
  </w:style>
  <w:style w:type="paragraph" w:customStyle="1" w:styleId="Lignefinal">
    <w:name w:val="Ligne final"/>
    <w:basedOn w:val="Normal"/>
    <w:next w:val="Normal"/>
    <w:rsid w:val="00106A2A"/>
    <w:pPr>
      <w:widowControl/>
      <w:pBdr>
        <w:bottom w:val="single" w:sz="4" w:space="0" w:color="000000"/>
      </w:pBdr>
      <w:spacing w:before="360" w:after="120" w:line="360" w:lineRule="auto"/>
      <w:ind w:left="3400" w:right="3400"/>
      <w:jc w:val="center"/>
    </w:pPr>
    <w:rPr>
      <w:rFonts w:eastAsia="Calibri"/>
      <w:b/>
      <w:szCs w:val="22"/>
      <w:lang w:eastAsia="en-US"/>
    </w:rPr>
  </w:style>
  <w:style w:type="paragraph" w:customStyle="1" w:styleId="LignefinalLandscape">
    <w:name w:val="Ligne final (Landscape)"/>
    <w:basedOn w:val="Normal"/>
    <w:next w:val="Normal"/>
    <w:rsid w:val="00106A2A"/>
    <w:pPr>
      <w:widowControl/>
      <w:pBdr>
        <w:bottom w:val="single" w:sz="4" w:space="0" w:color="000000"/>
      </w:pBdr>
      <w:spacing w:before="360" w:after="120" w:line="360" w:lineRule="auto"/>
      <w:ind w:left="5868" w:right="5868"/>
      <w:jc w:val="center"/>
    </w:pPr>
    <w:rPr>
      <w:rFonts w:eastAsia="Calibri"/>
      <w:b/>
      <w:szCs w:val="22"/>
      <w:lang w:eastAsia="en-US"/>
    </w:rPr>
  </w:style>
  <w:style w:type="paragraph" w:customStyle="1" w:styleId="Rfrenceinterinstitutionelle">
    <w:name w:val="Référence interinstitutionelle"/>
    <w:basedOn w:val="Normal"/>
    <w:next w:val="Statut"/>
    <w:rsid w:val="00106A2A"/>
    <w:pPr>
      <w:widowControl/>
      <w:spacing w:line="360" w:lineRule="auto"/>
      <w:ind w:left="5103"/>
    </w:pPr>
    <w:rPr>
      <w:rFonts w:eastAsia="Calibri"/>
      <w:szCs w:val="22"/>
      <w:lang w:eastAsia="en-US"/>
    </w:rPr>
  </w:style>
  <w:style w:type="paragraph" w:customStyle="1" w:styleId="EntLogo">
    <w:name w:val="EntLogo"/>
    <w:basedOn w:val="Normal"/>
    <w:rsid w:val="00106A2A"/>
    <w:pPr>
      <w:widowControl/>
      <w:tabs>
        <w:tab w:val="right" w:pos="9639"/>
      </w:tabs>
      <w:spacing w:line="360" w:lineRule="auto"/>
    </w:pPr>
    <w:rPr>
      <w:rFonts w:eastAsia="Calibri"/>
      <w:b/>
      <w:szCs w:val="22"/>
      <w:lang w:eastAsia="en-US"/>
    </w:rPr>
  </w:style>
  <w:style w:type="paragraph" w:customStyle="1" w:styleId="EntInstit">
    <w:name w:val="EntInstit"/>
    <w:basedOn w:val="Normal"/>
    <w:rsid w:val="00106A2A"/>
    <w:pPr>
      <w:widowControl/>
      <w:jc w:val="right"/>
    </w:pPr>
    <w:rPr>
      <w:rFonts w:eastAsia="Calibri"/>
      <w:b/>
      <w:szCs w:val="22"/>
      <w:lang w:eastAsia="en-US"/>
    </w:rPr>
  </w:style>
  <w:style w:type="paragraph" w:customStyle="1" w:styleId="EntRefer">
    <w:name w:val="EntRefer"/>
    <w:basedOn w:val="Normal"/>
    <w:rsid w:val="00106A2A"/>
    <w:pPr>
      <w:widowControl/>
    </w:pPr>
    <w:rPr>
      <w:rFonts w:eastAsia="Calibri"/>
      <w:b/>
      <w:szCs w:val="22"/>
      <w:lang w:eastAsia="en-US"/>
    </w:rPr>
  </w:style>
  <w:style w:type="paragraph" w:customStyle="1" w:styleId="EntEmet">
    <w:name w:val="EntEmet"/>
    <w:basedOn w:val="Normal"/>
    <w:rsid w:val="00106A2A"/>
    <w:pPr>
      <w:widowControl/>
      <w:spacing w:before="40"/>
    </w:pPr>
    <w:rPr>
      <w:rFonts w:eastAsia="Calibri"/>
      <w:szCs w:val="22"/>
      <w:lang w:eastAsia="en-US"/>
    </w:rPr>
  </w:style>
  <w:style w:type="paragraph" w:customStyle="1" w:styleId="EntText">
    <w:name w:val="EntText"/>
    <w:basedOn w:val="Normal"/>
    <w:rsid w:val="00106A2A"/>
    <w:pPr>
      <w:widowControl/>
      <w:spacing w:before="120" w:after="120" w:line="360" w:lineRule="auto"/>
    </w:pPr>
    <w:rPr>
      <w:rFonts w:eastAsia="Calibri"/>
      <w:szCs w:val="22"/>
      <w:lang w:eastAsia="en-US"/>
    </w:rPr>
  </w:style>
  <w:style w:type="paragraph" w:customStyle="1" w:styleId="EntEU">
    <w:name w:val="EntEU"/>
    <w:basedOn w:val="Normal"/>
    <w:rsid w:val="00106A2A"/>
    <w:pPr>
      <w:widowControl/>
      <w:spacing w:before="240" w:after="240"/>
      <w:jc w:val="center"/>
    </w:pPr>
    <w:rPr>
      <w:rFonts w:eastAsia="Calibri"/>
      <w:b/>
      <w:sz w:val="36"/>
      <w:szCs w:val="22"/>
      <w:lang w:eastAsia="en-US"/>
    </w:rPr>
  </w:style>
  <w:style w:type="paragraph" w:customStyle="1" w:styleId="EntASSOC">
    <w:name w:val="EntASSOC"/>
    <w:basedOn w:val="Normal"/>
    <w:rsid w:val="00106A2A"/>
    <w:pPr>
      <w:widowControl/>
      <w:jc w:val="center"/>
    </w:pPr>
    <w:rPr>
      <w:rFonts w:eastAsia="Calibri"/>
      <w:b/>
      <w:szCs w:val="22"/>
      <w:lang w:eastAsia="en-US"/>
    </w:rPr>
  </w:style>
  <w:style w:type="paragraph" w:customStyle="1" w:styleId="EntACP">
    <w:name w:val="EntACP"/>
    <w:basedOn w:val="Normal"/>
    <w:rsid w:val="00106A2A"/>
    <w:pPr>
      <w:widowControl/>
      <w:spacing w:after="180"/>
      <w:jc w:val="center"/>
    </w:pPr>
    <w:rPr>
      <w:rFonts w:eastAsia="Calibri"/>
      <w:b/>
      <w:spacing w:val="40"/>
      <w:sz w:val="28"/>
      <w:szCs w:val="22"/>
      <w:lang w:eastAsia="en-US"/>
    </w:rPr>
  </w:style>
  <w:style w:type="paragraph" w:customStyle="1" w:styleId="EntInstitACP">
    <w:name w:val="EntInstitACP"/>
    <w:basedOn w:val="Normal"/>
    <w:rsid w:val="00106A2A"/>
    <w:pPr>
      <w:widowControl/>
      <w:jc w:val="center"/>
    </w:pPr>
    <w:rPr>
      <w:rFonts w:eastAsia="Calibri"/>
      <w:b/>
      <w:szCs w:val="22"/>
      <w:lang w:eastAsia="en-US"/>
    </w:rPr>
  </w:style>
  <w:style w:type="paragraph" w:customStyle="1" w:styleId="Genredudocument">
    <w:name w:val="Genre du document"/>
    <w:basedOn w:val="EntRefer"/>
    <w:next w:val="EntRefer"/>
    <w:rsid w:val="00106A2A"/>
    <w:pPr>
      <w:spacing w:before="240"/>
    </w:pPr>
  </w:style>
  <w:style w:type="paragraph" w:customStyle="1" w:styleId="Accordtitre">
    <w:name w:val="Accord titre"/>
    <w:basedOn w:val="Normal"/>
    <w:rsid w:val="00106A2A"/>
    <w:pPr>
      <w:widowControl/>
      <w:spacing w:line="360" w:lineRule="auto"/>
      <w:jc w:val="center"/>
    </w:pPr>
    <w:rPr>
      <w:rFonts w:eastAsia="Calibri"/>
      <w:szCs w:val="22"/>
      <w:lang w:eastAsia="en-US"/>
    </w:rPr>
  </w:style>
  <w:style w:type="paragraph" w:customStyle="1" w:styleId="FooterAccord">
    <w:name w:val="Footer Accord"/>
    <w:basedOn w:val="Normal"/>
    <w:rsid w:val="00106A2A"/>
    <w:pPr>
      <w:widowControl/>
      <w:tabs>
        <w:tab w:val="center" w:pos="4819"/>
        <w:tab w:val="center" w:pos="7370"/>
        <w:tab w:val="right" w:pos="9638"/>
      </w:tabs>
      <w:spacing w:before="360"/>
      <w:jc w:val="center"/>
    </w:pPr>
    <w:rPr>
      <w:rFonts w:eastAsia="Calibri"/>
      <w:szCs w:val="22"/>
      <w:lang w:eastAsia="en-US"/>
    </w:rPr>
  </w:style>
  <w:style w:type="paragraph" w:customStyle="1" w:styleId="FooterLandscapeAccord">
    <w:name w:val="FooterLandscape Accord"/>
    <w:basedOn w:val="Normal"/>
    <w:rsid w:val="00106A2A"/>
    <w:pPr>
      <w:widowControl/>
      <w:tabs>
        <w:tab w:val="center" w:pos="7285"/>
        <w:tab w:val="center" w:pos="10930"/>
        <w:tab w:val="right" w:pos="14570"/>
      </w:tabs>
      <w:spacing w:before="360"/>
      <w:jc w:val="center"/>
    </w:pPr>
    <w:rPr>
      <w:rFonts w:eastAsia="Calibri"/>
      <w:szCs w:val="22"/>
      <w:lang w:eastAsia="en-US"/>
    </w:rPr>
  </w:style>
  <w:style w:type="paragraph" w:customStyle="1" w:styleId="TitrearticleAccord">
    <w:name w:val="Titre article Accord"/>
    <w:basedOn w:val="Normal"/>
    <w:next w:val="Normal"/>
    <w:rsid w:val="00106A2A"/>
    <w:pPr>
      <w:keepNext/>
      <w:widowControl/>
      <w:spacing w:before="600" w:after="120" w:line="360" w:lineRule="auto"/>
      <w:jc w:val="center"/>
    </w:pPr>
    <w:rPr>
      <w:rFonts w:eastAsia="Calibri"/>
      <w:i/>
      <w:szCs w:val="22"/>
      <w:lang w:eastAsia="en-US"/>
    </w:rPr>
  </w:style>
  <w:style w:type="paragraph" w:customStyle="1" w:styleId="Languesfaisantfoi">
    <w:name w:val="Langues faisant foi"/>
    <w:basedOn w:val="Normal"/>
    <w:next w:val="Normal"/>
    <w:rsid w:val="00106A2A"/>
    <w:pPr>
      <w:widowControl/>
      <w:spacing w:before="360" w:line="360" w:lineRule="auto"/>
      <w:jc w:val="center"/>
    </w:pPr>
    <w:rPr>
      <w:rFonts w:eastAsia="Calibri"/>
      <w:szCs w:val="22"/>
      <w:lang w:eastAsia="en-US"/>
    </w:rPr>
  </w:style>
  <w:style w:type="paragraph" w:customStyle="1" w:styleId="IntrtEEE">
    <w:name w:val="Intérêt EEE"/>
    <w:basedOn w:val="Languesfaisantfoi"/>
    <w:next w:val="Normal"/>
    <w:rsid w:val="00106A2A"/>
    <w:pPr>
      <w:spacing w:after="240"/>
    </w:pPr>
  </w:style>
  <w:style w:type="paragraph" w:customStyle="1" w:styleId="Annexetitre">
    <w:name w:val="Annexe titre"/>
    <w:basedOn w:val="Normal"/>
    <w:next w:val="Normal"/>
    <w:rsid w:val="00106A2A"/>
    <w:pPr>
      <w:widowControl/>
      <w:spacing w:before="120" w:after="120" w:line="360" w:lineRule="auto"/>
      <w:jc w:val="center"/>
    </w:pPr>
    <w:rPr>
      <w:rFonts w:eastAsia="Calibri"/>
      <w:b/>
      <w:szCs w:val="22"/>
      <w:u w:val="single"/>
      <w:lang w:eastAsia="en-US"/>
    </w:rPr>
  </w:style>
  <w:style w:type="paragraph" w:customStyle="1" w:styleId="DESignature">
    <w:name w:val="DE Signature"/>
    <w:basedOn w:val="Normal"/>
    <w:next w:val="Normal"/>
    <w:rsid w:val="00106A2A"/>
    <w:pPr>
      <w:widowControl/>
      <w:tabs>
        <w:tab w:val="center" w:pos="5953"/>
      </w:tabs>
      <w:spacing w:before="720" w:after="120" w:line="360" w:lineRule="auto"/>
    </w:pPr>
    <w:rPr>
      <w:rFonts w:eastAsia="Calibri"/>
      <w:szCs w:val="22"/>
      <w:lang w:eastAsia="en-US"/>
    </w:rPr>
  </w:style>
  <w:style w:type="paragraph" w:customStyle="1" w:styleId="EndnoteText1">
    <w:name w:val="Endnote Text1"/>
    <w:basedOn w:val="Normal"/>
    <w:next w:val="EndnoteText"/>
    <w:uiPriority w:val="99"/>
    <w:semiHidden/>
    <w:unhideWhenUsed/>
    <w:rsid w:val="00106A2A"/>
    <w:pPr>
      <w:widowControl/>
    </w:pPr>
    <w:rPr>
      <w:sz w:val="20"/>
      <w:szCs w:val="20"/>
    </w:rPr>
  </w:style>
  <w:style w:type="paragraph" w:customStyle="1" w:styleId="Division1">
    <w:name w:val="Division 1"/>
    <w:basedOn w:val="Normal"/>
    <w:next w:val="Normal"/>
    <w:rsid w:val="00106A2A"/>
    <w:pPr>
      <w:keepNext/>
      <w:widowControl/>
      <w:spacing w:before="720" w:after="120" w:line="360" w:lineRule="auto"/>
      <w:ind w:left="850" w:hanging="850"/>
    </w:pPr>
    <w:rPr>
      <w:rFonts w:eastAsia="Calibri"/>
      <w:szCs w:val="22"/>
      <w:lang w:eastAsia="en-US"/>
    </w:rPr>
  </w:style>
  <w:style w:type="paragraph" w:customStyle="1" w:styleId="Division2">
    <w:name w:val="Division 2"/>
    <w:basedOn w:val="Normal"/>
    <w:next w:val="Normal"/>
    <w:rsid w:val="00106A2A"/>
    <w:pPr>
      <w:keepNext/>
      <w:widowControl/>
      <w:spacing w:before="720" w:after="120" w:line="360" w:lineRule="auto"/>
      <w:ind w:left="850" w:hanging="850"/>
    </w:pPr>
    <w:rPr>
      <w:rFonts w:eastAsia="Calibri"/>
      <w:szCs w:val="22"/>
      <w:lang w:eastAsia="en-US"/>
    </w:rPr>
  </w:style>
  <w:style w:type="paragraph" w:customStyle="1" w:styleId="Division3">
    <w:name w:val="Division 3"/>
    <w:basedOn w:val="Normal"/>
    <w:next w:val="Normal"/>
    <w:rsid w:val="00106A2A"/>
    <w:pPr>
      <w:keepNext/>
      <w:widowControl/>
      <w:spacing w:before="720" w:after="120" w:line="360" w:lineRule="auto"/>
      <w:ind w:left="850" w:hanging="850"/>
    </w:pPr>
    <w:rPr>
      <w:rFonts w:eastAsia="Calibri"/>
      <w:szCs w:val="22"/>
      <w:lang w:eastAsia="en-US"/>
    </w:rPr>
  </w:style>
  <w:style w:type="paragraph" w:customStyle="1" w:styleId="Division4">
    <w:name w:val="Division 4"/>
    <w:basedOn w:val="Normal"/>
    <w:next w:val="Normal"/>
    <w:rsid w:val="00106A2A"/>
    <w:pPr>
      <w:keepNext/>
      <w:widowControl/>
      <w:spacing w:before="720" w:after="120" w:line="360" w:lineRule="auto"/>
      <w:ind w:left="850" w:hanging="850"/>
    </w:pPr>
    <w:rPr>
      <w:rFonts w:eastAsia="Calibri"/>
      <w:szCs w:val="22"/>
      <w:lang w:eastAsia="en-US"/>
    </w:rPr>
  </w:style>
  <w:style w:type="paragraph" w:customStyle="1" w:styleId="Crossheading1">
    <w:name w:val="Crossheading 1"/>
    <w:basedOn w:val="Normal"/>
    <w:next w:val="Normal"/>
    <w:rsid w:val="00106A2A"/>
    <w:pPr>
      <w:widowControl/>
      <w:spacing w:before="120" w:after="120" w:line="360" w:lineRule="auto"/>
      <w:ind w:left="850"/>
    </w:pPr>
    <w:rPr>
      <w:rFonts w:eastAsia="Calibri"/>
      <w:szCs w:val="22"/>
      <w:lang w:eastAsia="en-US"/>
    </w:rPr>
  </w:style>
  <w:style w:type="paragraph" w:customStyle="1" w:styleId="CrossheadingIndent1">
    <w:name w:val="Crossheading Indent 1"/>
    <w:basedOn w:val="Normal"/>
    <w:next w:val="Normal"/>
    <w:rsid w:val="00106A2A"/>
    <w:pPr>
      <w:widowControl/>
      <w:spacing w:before="120" w:after="120" w:line="360" w:lineRule="auto"/>
      <w:ind w:left="1417" w:hanging="567"/>
    </w:pPr>
    <w:rPr>
      <w:rFonts w:eastAsia="Calibri"/>
      <w:szCs w:val="22"/>
      <w:lang w:eastAsia="en-US"/>
    </w:rPr>
  </w:style>
  <w:style w:type="paragraph" w:customStyle="1" w:styleId="Crossheading2">
    <w:name w:val="Crossheading 2"/>
    <w:basedOn w:val="Normal"/>
    <w:next w:val="Normal"/>
    <w:rsid w:val="00106A2A"/>
    <w:pPr>
      <w:widowControl/>
      <w:spacing w:before="120" w:after="120" w:line="360" w:lineRule="auto"/>
      <w:ind w:left="1417"/>
    </w:pPr>
    <w:rPr>
      <w:rFonts w:eastAsia="Calibri"/>
      <w:szCs w:val="22"/>
      <w:lang w:eastAsia="en-US"/>
    </w:rPr>
  </w:style>
  <w:style w:type="paragraph" w:customStyle="1" w:styleId="CrossheadingIndent2">
    <w:name w:val="Crossheading Indent 2"/>
    <w:basedOn w:val="Normal"/>
    <w:next w:val="Normal"/>
    <w:rsid w:val="00106A2A"/>
    <w:pPr>
      <w:widowControl/>
      <w:spacing w:before="120" w:after="120" w:line="360" w:lineRule="auto"/>
      <w:ind w:left="1984" w:hanging="567"/>
    </w:pPr>
    <w:rPr>
      <w:rFonts w:eastAsia="Calibri"/>
      <w:szCs w:val="22"/>
      <w:lang w:eastAsia="en-US"/>
    </w:rPr>
  </w:style>
  <w:style w:type="paragraph" w:customStyle="1" w:styleId="Crossheading3">
    <w:name w:val="Crossheading 3"/>
    <w:basedOn w:val="Normal"/>
    <w:next w:val="Normal"/>
    <w:rsid w:val="00106A2A"/>
    <w:pPr>
      <w:widowControl/>
      <w:spacing w:before="120" w:after="120" w:line="360" w:lineRule="auto"/>
      <w:ind w:left="1984"/>
    </w:pPr>
    <w:rPr>
      <w:rFonts w:eastAsia="Calibri"/>
      <w:szCs w:val="22"/>
      <w:lang w:eastAsia="en-US"/>
    </w:rPr>
  </w:style>
  <w:style w:type="paragraph" w:customStyle="1" w:styleId="CrossheadingIndent3">
    <w:name w:val="Crossheading Indent 3"/>
    <w:basedOn w:val="Normal"/>
    <w:next w:val="Normal"/>
    <w:rsid w:val="00106A2A"/>
    <w:pPr>
      <w:widowControl/>
      <w:spacing w:before="120" w:after="120" w:line="360" w:lineRule="auto"/>
      <w:ind w:left="2551" w:hanging="567"/>
    </w:pPr>
    <w:rPr>
      <w:rFonts w:eastAsia="Calibri"/>
      <w:szCs w:val="22"/>
      <w:lang w:eastAsia="en-US"/>
    </w:rPr>
  </w:style>
  <w:style w:type="paragraph" w:customStyle="1" w:styleId="Crossheading4">
    <w:name w:val="Crossheading 4"/>
    <w:basedOn w:val="Normal"/>
    <w:next w:val="Normal"/>
    <w:rsid w:val="00106A2A"/>
    <w:pPr>
      <w:widowControl/>
      <w:spacing w:before="120" w:after="120" w:line="360" w:lineRule="auto"/>
      <w:ind w:left="2551"/>
    </w:pPr>
    <w:rPr>
      <w:rFonts w:eastAsia="Calibri"/>
      <w:szCs w:val="22"/>
      <w:lang w:eastAsia="en-US"/>
    </w:rPr>
  </w:style>
  <w:style w:type="paragraph" w:customStyle="1" w:styleId="CrossheadingIndent4">
    <w:name w:val="Crossheading Indent 4"/>
    <w:basedOn w:val="Normal"/>
    <w:next w:val="Normal"/>
    <w:rsid w:val="00106A2A"/>
    <w:pPr>
      <w:widowControl/>
      <w:spacing w:before="120" w:after="120" w:line="360" w:lineRule="auto"/>
      <w:ind w:left="3118" w:hanging="567"/>
    </w:pPr>
    <w:rPr>
      <w:rFonts w:eastAsia="Calibri"/>
      <w:szCs w:val="22"/>
      <w:lang w:eastAsia="en-US"/>
    </w:rPr>
  </w:style>
  <w:style w:type="paragraph" w:customStyle="1" w:styleId="Crossheading5">
    <w:name w:val="Crossheading 5"/>
    <w:basedOn w:val="Normal"/>
    <w:next w:val="Normal"/>
    <w:rsid w:val="00106A2A"/>
    <w:pPr>
      <w:widowControl/>
      <w:spacing w:before="120" w:after="120" w:line="360" w:lineRule="auto"/>
      <w:ind w:left="3118"/>
    </w:pPr>
    <w:rPr>
      <w:rFonts w:eastAsia="Calibri"/>
      <w:szCs w:val="22"/>
      <w:lang w:eastAsia="en-US"/>
    </w:rPr>
  </w:style>
  <w:style w:type="paragraph" w:customStyle="1" w:styleId="CrossheadingIndent5">
    <w:name w:val="Crossheading Indent 5"/>
    <w:basedOn w:val="Normal"/>
    <w:next w:val="Normal"/>
    <w:rsid w:val="00106A2A"/>
    <w:pPr>
      <w:widowControl/>
      <w:spacing w:before="120" w:after="120" w:line="360" w:lineRule="auto"/>
      <w:ind w:left="3685" w:hanging="567"/>
    </w:pPr>
    <w:rPr>
      <w:rFonts w:eastAsia="Calibri"/>
      <w:szCs w:val="22"/>
      <w:lang w:eastAsia="en-US"/>
    </w:rPr>
  </w:style>
  <w:style w:type="paragraph" w:customStyle="1" w:styleId="Crossheading6">
    <w:name w:val="Crossheading 6"/>
    <w:basedOn w:val="Normal"/>
    <w:next w:val="Normal"/>
    <w:rsid w:val="00106A2A"/>
    <w:pPr>
      <w:widowControl/>
      <w:spacing w:before="120" w:after="120" w:line="360" w:lineRule="auto"/>
      <w:ind w:left="3685"/>
    </w:pPr>
    <w:rPr>
      <w:rFonts w:eastAsia="Calibri"/>
      <w:szCs w:val="22"/>
      <w:lang w:eastAsia="en-US"/>
    </w:rPr>
  </w:style>
  <w:style w:type="paragraph" w:customStyle="1" w:styleId="CrossheadingIndent6">
    <w:name w:val="Crossheading Indent 6"/>
    <w:basedOn w:val="Normal"/>
    <w:next w:val="Normal"/>
    <w:rsid w:val="00106A2A"/>
    <w:pPr>
      <w:widowControl/>
      <w:spacing w:before="120" w:after="120" w:line="360" w:lineRule="auto"/>
      <w:ind w:left="4252" w:hanging="567"/>
    </w:pPr>
    <w:rPr>
      <w:rFonts w:eastAsia="Calibri"/>
      <w:szCs w:val="22"/>
      <w:lang w:eastAsia="en-US"/>
    </w:rPr>
  </w:style>
  <w:style w:type="paragraph" w:customStyle="1" w:styleId="Crossheading7">
    <w:name w:val="Crossheading 7"/>
    <w:basedOn w:val="Normal"/>
    <w:next w:val="Normal"/>
    <w:rsid w:val="00106A2A"/>
    <w:pPr>
      <w:widowControl/>
      <w:spacing w:before="120" w:after="120" w:line="360" w:lineRule="auto"/>
      <w:ind w:left="4252"/>
    </w:pPr>
    <w:rPr>
      <w:rFonts w:eastAsia="Calibri"/>
      <w:szCs w:val="22"/>
      <w:lang w:eastAsia="en-US"/>
    </w:rPr>
  </w:style>
  <w:style w:type="paragraph" w:customStyle="1" w:styleId="CrossheadingIndent7">
    <w:name w:val="Crossheading Indent 7"/>
    <w:basedOn w:val="Normal"/>
    <w:next w:val="Normal"/>
    <w:rsid w:val="00106A2A"/>
    <w:pPr>
      <w:widowControl/>
      <w:spacing w:before="120" w:after="120" w:line="360" w:lineRule="auto"/>
      <w:ind w:left="4819" w:hanging="567"/>
    </w:pPr>
    <w:rPr>
      <w:rFonts w:eastAsia="Calibri"/>
      <w:szCs w:val="22"/>
      <w:lang w:eastAsia="en-US"/>
    </w:rPr>
  </w:style>
  <w:style w:type="paragraph" w:customStyle="1" w:styleId="Crossheading8">
    <w:name w:val="Crossheading 8"/>
    <w:basedOn w:val="Normal"/>
    <w:next w:val="Normal"/>
    <w:rsid w:val="00106A2A"/>
    <w:pPr>
      <w:widowControl/>
      <w:spacing w:before="120" w:after="120" w:line="360" w:lineRule="auto"/>
      <w:ind w:left="4819"/>
    </w:pPr>
    <w:rPr>
      <w:rFonts w:eastAsia="Calibri"/>
      <w:szCs w:val="22"/>
      <w:lang w:eastAsia="en-US"/>
    </w:rPr>
  </w:style>
  <w:style w:type="paragraph" w:customStyle="1" w:styleId="CrossheadingIndent8">
    <w:name w:val="Crossheading Indent 8"/>
    <w:basedOn w:val="Normal"/>
    <w:next w:val="Normal"/>
    <w:rsid w:val="00106A2A"/>
    <w:pPr>
      <w:widowControl/>
      <w:spacing w:before="120" w:after="120" w:line="360" w:lineRule="auto"/>
      <w:ind w:left="5386" w:hanging="567"/>
    </w:pPr>
    <w:rPr>
      <w:rFonts w:eastAsia="Calibri"/>
      <w:szCs w:val="22"/>
      <w:lang w:eastAsia="en-US"/>
    </w:rPr>
  </w:style>
  <w:style w:type="paragraph" w:customStyle="1" w:styleId="Crossheading9">
    <w:name w:val="Crossheading 9"/>
    <w:basedOn w:val="Normal"/>
    <w:next w:val="Normal"/>
    <w:rsid w:val="00106A2A"/>
    <w:pPr>
      <w:widowControl/>
      <w:spacing w:before="120" w:after="120" w:line="360" w:lineRule="auto"/>
      <w:ind w:left="5386"/>
    </w:pPr>
    <w:rPr>
      <w:rFonts w:eastAsia="Calibri"/>
      <w:szCs w:val="22"/>
      <w:lang w:eastAsia="en-US"/>
    </w:rPr>
  </w:style>
  <w:style w:type="paragraph" w:customStyle="1" w:styleId="CrossheadingIndent9">
    <w:name w:val="Crossheading Indent 9"/>
    <w:basedOn w:val="Normal"/>
    <w:next w:val="Normal"/>
    <w:rsid w:val="00106A2A"/>
    <w:pPr>
      <w:widowControl/>
      <w:spacing w:before="120" w:after="120" w:line="360" w:lineRule="auto"/>
      <w:ind w:left="5953" w:hanging="567"/>
    </w:pPr>
    <w:rPr>
      <w:rFonts w:eastAsia="Calibri"/>
      <w:szCs w:val="22"/>
      <w:lang w:eastAsia="en-US"/>
    </w:rPr>
  </w:style>
  <w:style w:type="paragraph" w:customStyle="1" w:styleId="Crossheading10">
    <w:name w:val="Crossheading 10"/>
    <w:basedOn w:val="Normal"/>
    <w:next w:val="Normal"/>
    <w:rsid w:val="00106A2A"/>
    <w:pPr>
      <w:widowControl/>
      <w:spacing w:before="120" w:after="120" w:line="360" w:lineRule="auto"/>
      <w:ind w:left="5953"/>
    </w:pPr>
    <w:rPr>
      <w:rFonts w:eastAsia="Calibri"/>
      <w:szCs w:val="22"/>
      <w:lang w:eastAsia="en-US"/>
    </w:rPr>
  </w:style>
  <w:style w:type="paragraph" w:customStyle="1" w:styleId="CrossheadingIndent10">
    <w:name w:val="Crossheading Indent 10"/>
    <w:basedOn w:val="Normal"/>
    <w:next w:val="Normal"/>
    <w:rsid w:val="00106A2A"/>
    <w:pPr>
      <w:widowControl/>
      <w:spacing w:before="120" w:after="120" w:line="360" w:lineRule="auto"/>
      <w:ind w:left="6520" w:hanging="567"/>
    </w:pPr>
    <w:rPr>
      <w:rFonts w:eastAsia="Calibri"/>
      <w:szCs w:val="22"/>
      <w:lang w:eastAsia="en-US"/>
    </w:rPr>
  </w:style>
  <w:style w:type="paragraph" w:customStyle="1" w:styleId="Crossheading0">
    <w:name w:val="Crossheading 0"/>
    <w:basedOn w:val="Normal"/>
    <w:next w:val="Normal"/>
    <w:rsid w:val="00106A2A"/>
    <w:pPr>
      <w:widowControl/>
      <w:spacing w:before="120" w:after="120" w:line="360" w:lineRule="auto"/>
    </w:pPr>
    <w:rPr>
      <w:rFonts w:eastAsia="Calibri"/>
      <w:szCs w:val="22"/>
      <w:lang w:eastAsia="en-US"/>
    </w:rPr>
  </w:style>
  <w:style w:type="paragraph" w:customStyle="1" w:styleId="CrossheadingIndent0">
    <w:name w:val="Crossheading Indent 0"/>
    <w:basedOn w:val="Normal"/>
    <w:next w:val="Normal"/>
    <w:rsid w:val="00106A2A"/>
    <w:pPr>
      <w:widowControl/>
      <w:spacing w:before="120" w:after="120" w:line="360" w:lineRule="auto"/>
      <w:ind w:left="850" w:hanging="850"/>
    </w:pPr>
    <w:rPr>
      <w:rFonts w:eastAsia="Calibri"/>
      <w:szCs w:val="22"/>
      <w:lang w:eastAsia="en-US"/>
    </w:rPr>
  </w:style>
  <w:style w:type="paragraph" w:customStyle="1" w:styleId="HeaderCouncilLarge">
    <w:name w:val="Header Council Large"/>
    <w:basedOn w:val="Normal"/>
    <w:link w:val="HeaderCouncilLargeChar"/>
    <w:rsid w:val="00106A2A"/>
    <w:pPr>
      <w:widowControl/>
      <w:spacing w:after="440" w:line="360" w:lineRule="auto"/>
      <w:ind w:left="-1134" w:right="-1134"/>
    </w:pPr>
    <w:rPr>
      <w:rFonts w:eastAsia="Calibri"/>
      <w:sz w:val="2"/>
      <w:szCs w:val="22"/>
      <w:lang w:eastAsia="en-US"/>
    </w:rPr>
  </w:style>
  <w:style w:type="character" w:customStyle="1" w:styleId="TechnicalBlockChar">
    <w:name w:val="Technical Block Char"/>
    <w:basedOn w:val="DefaultParagraphFont"/>
    <w:link w:val="TechnicalBlock"/>
    <w:rsid w:val="00106A2A"/>
    <w:rPr>
      <w:rFonts w:eastAsia="Calibri"/>
      <w:sz w:val="24"/>
      <w:szCs w:val="22"/>
      <w:lang w:val="bg-BG" w:eastAsia="en-US"/>
    </w:rPr>
  </w:style>
  <w:style w:type="character" w:customStyle="1" w:styleId="HeaderCouncilLargeChar">
    <w:name w:val="Header Council Large Char"/>
    <w:basedOn w:val="TechnicalBlockChar"/>
    <w:link w:val="HeaderCouncilLarge"/>
    <w:rsid w:val="00106A2A"/>
    <w:rPr>
      <w:rFonts w:eastAsia="Calibri"/>
      <w:sz w:val="2"/>
      <w:szCs w:val="22"/>
      <w:lang w:val="bg-BG" w:eastAsia="en-US"/>
    </w:rPr>
  </w:style>
  <w:style w:type="paragraph" w:customStyle="1" w:styleId="FooterText">
    <w:name w:val="Footer Text"/>
    <w:basedOn w:val="Normal"/>
    <w:rsid w:val="00106A2A"/>
    <w:pPr>
      <w:widowControl/>
    </w:pPr>
    <w:rPr>
      <w:lang w:val="en-GB" w:eastAsia="en-US"/>
    </w:rPr>
  </w:style>
  <w:style w:type="character" w:styleId="PlaceholderText">
    <w:name w:val="Placeholder Text"/>
    <w:basedOn w:val="DefaultParagraphFont"/>
    <w:uiPriority w:val="99"/>
    <w:semiHidden/>
    <w:rsid w:val="00106A2A"/>
    <w:rPr>
      <w:color w:val="808080"/>
    </w:rPr>
  </w:style>
  <w:style w:type="paragraph" w:customStyle="1" w:styleId="NormalJustified">
    <w:name w:val="Normal Justified"/>
    <w:basedOn w:val="Normal"/>
    <w:rsid w:val="00106A2A"/>
    <w:pPr>
      <w:widowControl/>
      <w:spacing w:before="200" w:after="120" w:line="360" w:lineRule="auto"/>
      <w:jc w:val="both"/>
    </w:pPr>
    <w:rPr>
      <w:rFonts w:eastAsia="Calibri"/>
      <w:szCs w:val="22"/>
      <w:lang w:eastAsia="en-US"/>
    </w:rPr>
  </w:style>
  <w:style w:type="paragraph" w:customStyle="1" w:styleId="FinalLine">
    <w:name w:val="Final Line"/>
    <w:basedOn w:val="Normal"/>
    <w:next w:val="Normal"/>
    <w:rsid w:val="00106A2A"/>
    <w:pPr>
      <w:widowControl/>
      <w:pBdr>
        <w:bottom w:val="single" w:sz="4" w:space="0" w:color="000000"/>
      </w:pBdr>
      <w:spacing w:before="360" w:after="120" w:line="360" w:lineRule="auto"/>
      <w:ind w:left="3400" w:right="3400"/>
      <w:jc w:val="center"/>
    </w:pPr>
    <w:rPr>
      <w:rFonts w:eastAsia="Calibri"/>
      <w:b/>
      <w:szCs w:val="22"/>
      <w:lang w:eastAsia="en-US"/>
    </w:rPr>
  </w:style>
  <w:style w:type="paragraph" w:customStyle="1" w:styleId="FinalLineLandscape">
    <w:name w:val="Final Line (Landscape)"/>
    <w:basedOn w:val="Normal"/>
    <w:next w:val="Normal"/>
    <w:rsid w:val="00106A2A"/>
    <w:pPr>
      <w:widowControl/>
      <w:pBdr>
        <w:bottom w:val="single" w:sz="4" w:space="0" w:color="000000"/>
      </w:pBdr>
      <w:spacing w:before="360" w:after="120" w:line="360" w:lineRule="auto"/>
      <w:ind w:left="5868" w:right="5868"/>
      <w:jc w:val="center"/>
    </w:pPr>
    <w:rPr>
      <w:rFonts w:eastAsia="Calibri"/>
      <w:b/>
      <w:szCs w:val="22"/>
      <w:lang w:eastAsia="en-US"/>
    </w:rPr>
  </w:style>
  <w:style w:type="paragraph" w:customStyle="1" w:styleId="PointManual">
    <w:name w:val="Point Manual"/>
    <w:basedOn w:val="Normal"/>
    <w:rsid w:val="00106A2A"/>
    <w:pPr>
      <w:widowControl/>
      <w:spacing w:before="120" w:after="120" w:line="360" w:lineRule="auto"/>
      <w:ind w:left="567" w:hanging="567"/>
    </w:pPr>
    <w:rPr>
      <w:rFonts w:eastAsia="Calibri"/>
      <w:szCs w:val="22"/>
      <w:lang w:eastAsia="en-US"/>
    </w:rPr>
  </w:style>
  <w:style w:type="paragraph" w:customStyle="1" w:styleId="PointManual1">
    <w:name w:val="Point Manual (1)"/>
    <w:basedOn w:val="Normal"/>
    <w:rsid w:val="00106A2A"/>
    <w:pPr>
      <w:widowControl/>
      <w:spacing w:before="120" w:after="120" w:line="360" w:lineRule="auto"/>
      <w:ind w:left="1134" w:hanging="567"/>
    </w:pPr>
    <w:rPr>
      <w:rFonts w:eastAsia="Calibri"/>
      <w:szCs w:val="22"/>
      <w:lang w:eastAsia="en-US"/>
    </w:rPr>
  </w:style>
  <w:style w:type="paragraph" w:customStyle="1" w:styleId="PointManual2">
    <w:name w:val="Point Manual (2)"/>
    <w:basedOn w:val="Normal"/>
    <w:rsid w:val="00106A2A"/>
    <w:pPr>
      <w:widowControl/>
      <w:spacing w:before="120" w:after="120" w:line="360" w:lineRule="auto"/>
      <w:ind w:left="1701" w:hanging="567"/>
    </w:pPr>
    <w:rPr>
      <w:rFonts w:eastAsia="Calibri"/>
      <w:szCs w:val="22"/>
      <w:lang w:eastAsia="en-US"/>
    </w:rPr>
  </w:style>
  <w:style w:type="paragraph" w:customStyle="1" w:styleId="PointManual3">
    <w:name w:val="Point Manual (3)"/>
    <w:basedOn w:val="Normal"/>
    <w:rsid w:val="00106A2A"/>
    <w:pPr>
      <w:widowControl/>
      <w:spacing w:before="120" w:after="120" w:line="360" w:lineRule="auto"/>
      <w:ind w:left="2268" w:hanging="567"/>
    </w:pPr>
    <w:rPr>
      <w:rFonts w:eastAsia="Calibri"/>
      <w:szCs w:val="22"/>
      <w:lang w:eastAsia="en-US"/>
    </w:rPr>
  </w:style>
  <w:style w:type="paragraph" w:customStyle="1" w:styleId="PointManual4">
    <w:name w:val="Point Manual (4)"/>
    <w:basedOn w:val="Normal"/>
    <w:rsid w:val="00106A2A"/>
    <w:pPr>
      <w:widowControl/>
      <w:spacing w:before="120" w:after="120" w:line="360" w:lineRule="auto"/>
      <w:ind w:left="2835" w:hanging="567"/>
    </w:pPr>
    <w:rPr>
      <w:rFonts w:eastAsia="Calibri"/>
      <w:szCs w:val="22"/>
      <w:lang w:eastAsia="en-US"/>
    </w:rPr>
  </w:style>
  <w:style w:type="paragraph" w:customStyle="1" w:styleId="PointDoubleManual">
    <w:name w:val="Point Double Manual"/>
    <w:basedOn w:val="Normal"/>
    <w:rsid w:val="00106A2A"/>
    <w:pPr>
      <w:widowControl/>
      <w:tabs>
        <w:tab w:val="left" w:pos="567"/>
      </w:tabs>
      <w:spacing w:before="120" w:after="120" w:line="360" w:lineRule="auto"/>
      <w:ind w:left="1134" w:hanging="1134"/>
    </w:pPr>
    <w:rPr>
      <w:rFonts w:eastAsia="Calibri"/>
      <w:szCs w:val="22"/>
      <w:lang w:eastAsia="en-US"/>
    </w:rPr>
  </w:style>
  <w:style w:type="paragraph" w:customStyle="1" w:styleId="PointDoubleManual1">
    <w:name w:val="Point Double Manual (1)"/>
    <w:basedOn w:val="Normal"/>
    <w:rsid w:val="00106A2A"/>
    <w:pPr>
      <w:widowControl/>
      <w:tabs>
        <w:tab w:val="left" w:pos="1134"/>
      </w:tabs>
      <w:spacing w:before="120" w:after="120" w:line="360" w:lineRule="auto"/>
      <w:ind w:left="1701" w:hanging="1134"/>
    </w:pPr>
    <w:rPr>
      <w:rFonts w:eastAsia="Calibri"/>
      <w:szCs w:val="22"/>
      <w:lang w:eastAsia="en-US"/>
    </w:rPr>
  </w:style>
  <w:style w:type="paragraph" w:customStyle="1" w:styleId="PointDoubleManual2">
    <w:name w:val="Point Double Manual (2)"/>
    <w:basedOn w:val="Normal"/>
    <w:rsid w:val="00106A2A"/>
    <w:pPr>
      <w:widowControl/>
      <w:tabs>
        <w:tab w:val="left" w:pos="1701"/>
      </w:tabs>
      <w:spacing w:before="120" w:after="120" w:line="360" w:lineRule="auto"/>
      <w:ind w:left="2268" w:hanging="1134"/>
    </w:pPr>
    <w:rPr>
      <w:rFonts w:eastAsia="Calibri"/>
      <w:szCs w:val="22"/>
      <w:lang w:eastAsia="en-US"/>
    </w:rPr>
  </w:style>
  <w:style w:type="paragraph" w:customStyle="1" w:styleId="PointDoubleManual3">
    <w:name w:val="Point Double Manual (3)"/>
    <w:basedOn w:val="Normal"/>
    <w:rsid w:val="00106A2A"/>
    <w:pPr>
      <w:widowControl/>
      <w:tabs>
        <w:tab w:val="left" w:pos="2268"/>
      </w:tabs>
      <w:spacing w:before="120" w:after="120" w:line="360" w:lineRule="auto"/>
      <w:ind w:left="2835" w:hanging="1134"/>
    </w:pPr>
    <w:rPr>
      <w:rFonts w:eastAsia="Calibri"/>
      <w:szCs w:val="22"/>
      <w:lang w:eastAsia="en-US"/>
    </w:rPr>
  </w:style>
  <w:style w:type="paragraph" w:customStyle="1" w:styleId="PointDoubleManual4">
    <w:name w:val="Point Double Manual (4)"/>
    <w:basedOn w:val="Normal"/>
    <w:rsid w:val="00106A2A"/>
    <w:pPr>
      <w:widowControl/>
      <w:tabs>
        <w:tab w:val="left" w:pos="2835"/>
      </w:tabs>
      <w:spacing w:before="120" w:after="120" w:line="360" w:lineRule="auto"/>
      <w:ind w:left="3402" w:hanging="1134"/>
    </w:pPr>
    <w:rPr>
      <w:rFonts w:eastAsia="Calibri"/>
      <w:szCs w:val="22"/>
      <w:lang w:eastAsia="en-US"/>
    </w:rPr>
  </w:style>
  <w:style w:type="paragraph" w:customStyle="1" w:styleId="Pointabc">
    <w:name w:val="Point abc"/>
    <w:basedOn w:val="Normal"/>
    <w:rsid w:val="00106A2A"/>
    <w:pPr>
      <w:widowControl/>
      <w:numPr>
        <w:ilvl w:val="1"/>
        <w:numId w:val="1"/>
      </w:numPr>
      <w:spacing w:before="120" w:after="120" w:line="360" w:lineRule="auto"/>
    </w:pPr>
    <w:rPr>
      <w:rFonts w:eastAsia="Calibri"/>
      <w:szCs w:val="22"/>
      <w:lang w:eastAsia="en-US"/>
    </w:rPr>
  </w:style>
  <w:style w:type="paragraph" w:customStyle="1" w:styleId="Pointabc1">
    <w:name w:val="Point abc (1)"/>
    <w:basedOn w:val="Normal"/>
    <w:rsid w:val="00106A2A"/>
    <w:pPr>
      <w:widowControl/>
      <w:numPr>
        <w:ilvl w:val="3"/>
        <w:numId w:val="1"/>
      </w:numPr>
      <w:spacing w:before="120" w:after="120" w:line="360" w:lineRule="auto"/>
    </w:pPr>
    <w:rPr>
      <w:rFonts w:eastAsia="Calibri"/>
      <w:szCs w:val="22"/>
      <w:lang w:eastAsia="en-US"/>
    </w:rPr>
  </w:style>
  <w:style w:type="paragraph" w:customStyle="1" w:styleId="Pointabc2">
    <w:name w:val="Point abc (2)"/>
    <w:basedOn w:val="Normal"/>
    <w:rsid w:val="00106A2A"/>
    <w:pPr>
      <w:widowControl/>
      <w:numPr>
        <w:ilvl w:val="5"/>
        <w:numId w:val="1"/>
      </w:numPr>
      <w:spacing w:before="120" w:after="120" w:line="360" w:lineRule="auto"/>
    </w:pPr>
    <w:rPr>
      <w:rFonts w:eastAsia="Calibri"/>
      <w:szCs w:val="22"/>
      <w:lang w:eastAsia="en-US"/>
    </w:rPr>
  </w:style>
  <w:style w:type="paragraph" w:customStyle="1" w:styleId="Pointabc3">
    <w:name w:val="Point abc (3)"/>
    <w:basedOn w:val="Normal"/>
    <w:rsid w:val="00106A2A"/>
    <w:pPr>
      <w:widowControl/>
      <w:numPr>
        <w:ilvl w:val="7"/>
        <w:numId w:val="1"/>
      </w:numPr>
      <w:spacing w:before="120" w:after="120" w:line="360" w:lineRule="auto"/>
    </w:pPr>
    <w:rPr>
      <w:rFonts w:eastAsia="Calibri"/>
      <w:szCs w:val="22"/>
      <w:lang w:eastAsia="en-US"/>
    </w:rPr>
  </w:style>
  <w:style w:type="paragraph" w:customStyle="1" w:styleId="Pointabc4">
    <w:name w:val="Point abc (4)"/>
    <w:basedOn w:val="Normal"/>
    <w:rsid w:val="00106A2A"/>
    <w:pPr>
      <w:widowControl/>
      <w:numPr>
        <w:numId w:val="1"/>
      </w:numPr>
      <w:spacing w:before="120" w:after="120" w:line="360" w:lineRule="auto"/>
    </w:pPr>
    <w:rPr>
      <w:rFonts w:eastAsia="Calibri"/>
      <w:szCs w:val="22"/>
      <w:lang w:eastAsia="en-US"/>
    </w:rPr>
  </w:style>
  <w:style w:type="paragraph" w:customStyle="1" w:styleId="Point123">
    <w:name w:val="Point 123"/>
    <w:basedOn w:val="Normal"/>
    <w:rsid w:val="00106A2A"/>
    <w:pPr>
      <w:widowControl/>
      <w:tabs>
        <w:tab w:val="num" w:pos="3118"/>
      </w:tabs>
      <w:spacing w:before="120" w:after="120" w:line="360" w:lineRule="auto"/>
      <w:ind w:left="3118" w:hanging="567"/>
    </w:pPr>
    <w:rPr>
      <w:rFonts w:eastAsia="Calibri"/>
      <w:szCs w:val="22"/>
      <w:lang w:eastAsia="en-US"/>
    </w:rPr>
  </w:style>
  <w:style w:type="paragraph" w:customStyle="1" w:styleId="Point1231">
    <w:name w:val="Point 123 (1)"/>
    <w:basedOn w:val="Normal"/>
    <w:rsid w:val="00106A2A"/>
    <w:pPr>
      <w:widowControl/>
      <w:numPr>
        <w:numId w:val="18"/>
      </w:numPr>
      <w:tabs>
        <w:tab w:val="clear" w:pos="850"/>
        <w:tab w:val="num" w:pos="926"/>
      </w:tabs>
      <w:spacing w:before="120" w:after="120" w:line="360" w:lineRule="auto"/>
      <w:ind w:left="926" w:hanging="360"/>
    </w:pPr>
    <w:rPr>
      <w:rFonts w:eastAsia="Calibri"/>
      <w:szCs w:val="22"/>
      <w:lang w:eastAsia="en-US"/>
    </w:rPr>
  </w:style>
  <w:style w:type="paragraph" w:customStyle="1" w:styleId="Point1232">
    <w:name w:val="Point 123 (2)"/>
    <w:basedOn w:val="Normal"/>
    <w:rsid w:val="00106A2A"/>
    <w:pPr>
      <w:widowControl/>
      <w:numPr>
        <w:numId w:val="26"/>
      </w:numPr>
      <w:tabs>
        <w:tab w:val="clear" w:pos="3118"/>
        <w:tab w:val="num" w:pos="1492"/>
      </w:tabs>
      <w:spacing w:before="120" w:after="120" w:line="360" w:lineRule="auto"/>
      <w:ind w:left="1492" w:hanging="360"/>
    </w:pPr>
    <w:rPr>
      <w:rFonts w:eastAsia="Calibri"/>
      <w:szCs w:val="22"/>
      <w:lang w:eastAsia="en-US"/>
    </w:rPr>
  </w:style>
  <w:style w:type="paragraph" w:customStyle="1" w:styleId="Point1233">
    <w:name w:val="Point 123 (3)"/>
    <w:basedOn w:val="Normal"/>
    <w:rsid w:val="00106A2A"/>
    <w:pPr>
      <w:widowControl/>
      <w:tabs>
        <w:tab w:val="num" w:pos="3118"/>
      </w:tabs>
      <w:spacing w:before="120" w:after="120" w:line="360" w:lineRule="auto"/>
      <w:ind w:left="3118" w:hanging="567"/>
    </w:pPr>
    <w:rPr>
      <w:rFonts w:eastAsia="Calibri"/>
      <w:szCs w:val="22"/>
      <w:lang w:eastAsia="en-US"/>
    </w:rPr>
  </w:style>
  <w:style w:type="paragraph" w:customStyle="1" w:styleId="Pointivx">
    <w:name w:val="Point ivx"/>
    <w:basedOn w:val="Normal"/>
    <w:rsid w:val="00106A2A"/>
    <w:pPr>
      <w:widowControl/>
      <w:numPr>
        <w:numId w:val="27"/>
      </w:numPr>
      <w:tabs>
        <w:tab w:val="num" w:pos="360"/>
      </w:tabs>
      <w:spacing w:before="120" w:after="120" w:line="360" w:lineRule="auto"/>
      <w:ind w:left="360"/>
    </w:pPr>
    <w:rPr>
      <w:rFonts w:eastAsia="Calibri"/>
      <w:szCs w:val="22"/>
      <w:lang w:eastAsia="en-US"/>
    </w:rPr>
  </w:style>
  <w:style w:type="paragraph" w:customStyle="1" w:styleId="Pointivx1">
    <w:name w:val="Point ivx (1)"/>
    <w:basedOn w:val="Normal"/>
    <w:rsid w:val="00106A2A"/>
    <w:pPr>
      <w:widowControl/>
      <w:numPr>
        <w:ilvl w:val="1"/>
        <w:numId w:val="27"/>
      </w:numPr>
      <w:tabs>
        <w:tab w:val="num" w:pos="360"/>
      </w:tabs>
      <w:spacing w:before="120" w:after="120" w:line="360" w:lineRule="auto"/>
      <w:ind w:left="360"/>
    </w:pPr>
    <w:rPr>
      <w:rFonts w:eastAsia="Calibri"/>
      <w:szCs w:val="22"/>
      <w:lang w:eastAsia="en-US"/>
    </w:rPr>
  </w:style>
  <w:style w:type="paragraph" w:customStyle="1" w:styleId="Pointivx2">
    <w:name w:val="Point ivx (2)"/>
    <w:basedOn w:val="Normal"/>
    <w:rsid w:val="00106A2A"/>
    <w:pPr>
      <w:widowControl/>
      <w:numPr>
        <w:ilvl w:val="2"/>
        <w:numId w:val="27"/>
      </w:numPr>
      <w:tabs>
        <w:tab w:val="num" w:pos="360"/>
      </w:tabs>
      <w:spacing w:before="120" w:after="120" w:line="360" w:lineRule="auto"/>
      <w:ind w:left="360" w:hanging="360"/>
    </w:pPr>
    <w:rPr>
      <w:rFonts w:eastAsia="Calibri"/>
      <w:szCs w:val="22"/>
      <w:lang w:eastAsia="en-US"/>
    </w:rPr>
  </w:style>
  <w:style w:type="paragraph" w:customStyle="1" w:styleId="Pointivx3">
    <w:name w:val="Point ivx (3)"/>
    <w:basedOn w:val="Normal"/>
    <w:rsid w:val="00106A2A"/>
    <w:pPr>
      <w:widowControl/>
      <w:numPr>
        <w:ilvl w:val="3"/>
        <w:numId w:val="27"/>
      </w:numPr>
      <w:tabs>
        <w:tab w:val="num" w:pos="360"/>
      </w:tabs>
      <w:spacing w:before="120" w:after="120" w:line="360" w:lineRule="auto"/>
      <w:ind w:left="360"/>
    </w:pPr>
    <w:rPr>
      <w:rFonts w:eastAsia="Calibri"/>
      <w:szCs w:val="22"/>
      <w:lang w:eastAsia="en-US"/>
    </w:rPr>
  </w:style>
  <w:style w:type="paragraph" w:customStyle="1" w:styleId="Pointivx4">
    <w:name w:val="Point ivx (4)"/>
    <w:basedOn w:val="Normal"/>
    <w:rsid w:val="00106A2A"/>
    <w:pPr>
      <w:widowControl/>
      <w:numPr>
        <w:ilvl w:val="4"/>
        <w:numId w:val="27"/>
      </w:numPr>
      <w:tabs>
        <w:tab w:val="num" w:pos="360"/>
      </w:tabs>
      <w:spacing w:before="120" w:after="120" w:line="360" w:lineRule="auto"/>
      <w:ind w:left="360"/>
    </w:pPr>
    <w:rPr>
      <w:rFonts w:eastAsia="Calibri"/>
      <w:szCs w:val="22"/>
      <w:lang w:eastAsia="en-US"/>
    </w:rPr>
  </w:style>
  <w:style w:type="paragraph" w:customStyle="1" w:styleId="Bullet">
    <w:name w:val="Bullet"/>
    <w:basedOn w:val="Normal"/>
    <w:rsid w:val="00106A2A"/>
    <w:pPr>
      <w:widowControl/>
      <w:tabs>
        <w:tab w:val="num" w:pos="850"/>
      </w:tabs>
      <w:spacing w:before="120" w:after="120" w:line="360" w:lineRule="auto"/>
      <w:ind w:left="850" w:hanging="850"/>
    </w:pPr>
    <w:rPr>
      <w:rFonts w:eastAsia="Calibri"/>
      <w:szCs w:val="22"/>
      <w:lang w:eastAsia="en-US"/>
    </w:rPr>
  </w:style>
  <w:style w:type="paragraph" w:customStyle="1" w:styleId="Dash">
    <w:name w:val="Dash"/>
    <w:basedOn w:val="Normal"/>
    <w:rsid w:val="00106A2A"/>
    <w:pPr>
      <w:widowControl/>
      <w:tabs>
        <w:tab w:val="num" w:pos="850"/>
      </w:tabs>
      <w:spacing w:before="120" w:after="120" w:line="360" w:lineRule="auto"/>
      <w:ind w:left="850" w:hanging="850"/>
    </w:pPr>
    <w:rPr>
      <w:rFonts w:eastAsia="Calibri"/>
      <w:szCs w:val="22"/>
      <w:lang w:eastAsia="en-US"/>
    </w:rPr>
  </w:style>
  <w:style w:type="paragraph" w:customStyle="1" w:styleId="Dash1">
    <w:name w:val="Dash 1"/>
    <w:basedOn w:val="Normal"/>
    <w:rsid w:val="00106A2A"/>
    <w:pPr>
      <w:widowControl/>
      <w:numPr>
        <w:numId w:val="19"/>
      </w:numPr>
      <w:spacing w:before="120" w:after="120" w:line="360" w:lineRule="auto"/>
    </w:pPr>
    <w:rPr>
      <w:rFonts w:eastAsia="Calibri"/>
      <w:szCs w:val="22"/>
      <w:lang w:eastAsia="en-US"/>
    </w:rPr>
  </w:style>
  <w:style w:type="paragraph" w:customStyle="1" w:styleId="Dash2">
    <w:name w:val="Dash 2"/>
    <w:basedOn w:val="Normal"/>
    <w:rsid w:val="00106A2A"/>
    <w:pPr>
      <w:widowControl/>
      <w:numPr>
        <w:numId w:val="20"/>
      </w:numPr>
      <w:spacing w:before="120" w:after="120" w:line="360" w:lineRule="auto"/>
    </w:pPr>
    <w:rPr>
      <w:rFonts w:eastAsia="Calibri"/>
      <w:szCs w:val="22"/>
      <w:lang w:eastAsia="en-US"/>
    </w:rPr>
  </w:style>
  <w:style w:type="paragraph" w:customStyle="1" w:styleId="Dash3">
    <w:name w:val="Dash 3"/>
    <w:basedOn w:val="Normal"/>
    <w:rsid w:val="00106A2A"/>
    <w:pPr>
      <w:widowControl/>
      <w:numPr>
        <w:numId w:val="21"/>
      </w:numPr>
      <w:spacing w:before="120" w:after="120" w:line="360" w:lineRule="auto"/>
    </w:pPr>
    <w:rPr>
      <w:rFonts w:eastAsia="Calibri"/>
      <w:szCs w:val="22"/>
      <w:lang w:eastAsia="en-US"/>
    </w:rPr>
  </w:style>
  <w:style w:type="paragraph" w:customStyle="1" w:styleId="Dash4">
    <w:name w:val="Dash 4"/>
    <w:basedOn w:val="Normal"/>
    <w:rsid w:val="00106A2A"/>
    <w:pPr>
      <w:widowControl/>
      <w:numPr>
        <w:numId w:val="22"/>
      </w:numPr>
      <w:spacing w:before="120" w:after="120" w:line="360" w:lineRule="auto"/>
    </w:pPr>
    <w:rPr>
      <w:rFonts w:eastAsia="Calibri"/>
      <w:szCs w:val="22"/>
      <w:lang w:eastAsia="en-US"/>
    </w:rPr>
  </w:style>
  <w:style w:type="paragraph" w:customStyle="1" w:styleId="DashEqual">
    <w:name w:val="Dash Equal"/>
    <w:basedOn w:val="Dash"/>
    <w:rsid w:val="00106A2A"/>
    <w:pPr>
      <w:numPr>
        <w:numId w:val="23"/>
      </w:numPr>
      <w:tabs>
        <w:tab w:val="clear" w:pos="850"/>
        <w:tab w:val="num" w:pos="360"/>
      </w:tabs>
      <w:ind w:left="360" w:hanging="360"/>
    </w:pPr>
  </w:style>
  <w:style w:type="paragraph" w:customStyle="1" w:styleId="DashEqual1">
    <w:name w:val="Dash Equal 1"/>
    <w:basedOn w:val="Dash1"/>
    <w:rsid w:val="00106A2A"/>
    <w:pPr>
      <w:numPr>
        <w:numId w:val="0"/>
      </w:numPr>
      <w:tabs>
        <w:tab w:val="num" w:pos="1492"/>
      </w:tabs>
      <w:ind w:left="1492" w:hanging="360"/>
    </w:pPr>
  </w:style>
  <w:style w:type="paragraph" w:customStyle="1" w:styleId="DashEqual2">
    <w:name w:val="Dash Equal 2"/>
    <w:basedOn w:val="Dash2"/>
    <w:rsid w:val="00106A2A"/>
    <w:pPr>
      <w:numPr>
        <w:numId w:val="0"/>
      </w:numPr>
      <w:tabs>
        <w:tab w:val="num" w:pos="709"/>
      </w:tabs>
      <w:ind w:left="709" w:hanging="709"/>
    </w:pPr>
  </w:style>
  <w:style w:type="paragraph" w:customStyle="1" w:styleId="DashEqual3">
    <w:name w:val="Dash Equal 3"/>
    <w:basedOn w:val="Dash3"/>
    <w:rsid w:val="00106A2A"/>
    <w:pPr>
      <w:numPr>
        <w:numId w:val="25"/>
      </w:numPr>
      <w:tabs>
        <w:tab w:val="clear" w:pos="850"/>
        <w:tab w:val="num" w:pos="1209"/>
      </w:tabs>
      <w:ind w:left="1209" w:hanging="360"/>
    </w:pPr>
  </w:style>
  <w:style w:type="paragraph" w:customStyle="1" w:styleId="DashEqual4">
    <w:name w:val="Dash Equal 4"/>
    <w:basedOn w:val="Dash4"/>
    <w:rsid w:val="00106A2A"/>
    <w:pPr>
      <w:numPr>
        <w:numId w:val="0"/>
      </w:numPr>
      <w:tabs>
        <w:tab w:val="num" w:pos="850"/>
      </w:tabs>
      <w:ind w:left="850" w:hanging="850"/>
    </w:pPr>
  </w:style>
  <w:style w:type="paragraph" w:customStyle="1" w:styleId="HeadingLeft">
    <w:name w:val="Heading Left"/>
    <w:basedOn w:val="Normal"/>
    <w:next w:val="Normal"/>
    <w:rsid w:val="00106A2A"/>
    <w:pPr>
      <w:widowControl/>
      <w:spacing w:before="360" w:after="120" w:line="360" w:lineRule="auto"/>
      <w:outlineLvl w:val="0"/>
    </w:pPr>
    <w:rPr>
      <w:rFonts w:eastAsia="Calibri"/>
      <w:b/>
      <w:caps/>
      <w:szCs w:val="22"/>
      <w:u w:val="single"/>
      <w:lang w:eastAsia="en-US"/>
    </w:rPr>
  </w:style>
  <w:style w:type="paragraph" w:customStyle="1" w:styleId="HeadingIVX">
    <w:name w:val="Heading IVX"/>
    <w:basedOn w:val="HeadingLeft"/>
    <w:next w:val="Normal"/>
    <w:rsid w:val="00106A2A"/>
    <w:pPr>
      <w:numPr>
        <w:numId w:val="29"/>
      </w:numPr>
      <w:tabs>
        <w:tab w:val="num" w:pos="1209"/>
      </w:tabs>
      <w:ind w:left="1209" w:hanging="360"/>
    </w:pPr>
  </w:style>
  <w:style w:type="paragraph" w:customStyle="1" w:styleId="Heading123">
    <w:name w:val="Heading 123"/>
    <w:basedOn w:val="HeadingLeft"/>
    <w:next w:val="Normal"/>
    <w:rsid w:val="00106A2A"/>
    <w:pPr>
      <w:numPr>
        <w:numId w:val="28"/>
      </w:numPr>
      <w:tabs>
        <w:tab w:val="num" w:pos="926"/>
      </w:tabs>
      <w:ind w:left="926" w:hanging="360"/>
    </w:pPr>
  </w:style>
  <w:style w:type="paragraph" w:customStyle="1" w:styleId="HeadingABC">
    <w:name w:val="Heading ABC"/>
    <w:basedOn w:val="HeadingLeft"/>
    <w:next w:val="Normal"/>
    <w:rsid w:val="00106A2A"/>
    <w:pPr>
      <w:tabs>
        <w:tab w:val="num" w:pos="850"/>
      </w:tabs>
      <w:ind w:left="850" w:hanging="850"/>
    </w:pPr>
  </w:style>
  <w:style w:type="paragraph" w:customStyle="1" w:styleId="HeadingCentered">
    <w:name w:val="Heading Centered"/>
    <w:basedOn w:val="HeadingLeft"/>
    <w:next w:val="Normal"/>
    <w:rsid w:val="00106A2A"/>
    <w:pPr>
      <w:jc w:val="center"/>
    </w:pPr>
  </w:style>
  <w:style w:type="paragraph" w:customStyle="1" w:styleId="Jardin">
    <w:name w:val="Jardin"/>
    <w:basedOn w:val="Normal"/>
    <w:rsid w:val="00106A2A"/>
    <w:pPr>
      <w:widowControl/>
      <w:spacing w:before="200"/>
      <w:jc w:val="center"/>
    </w:pPr>
    <w:rPr>
      <w:rFonts w:eastAsia="Calibri"/>
      <w:szCs w:val="22"/>
      <w:lang w:eastAsia="en-US"/>
    </w:rPr>
  </w:style>
  <w:style w:type="paragraph" w:customStyle="1" w:styleId="Amendment">
    <w:name w:val="Amendment"/>
    <w:basedOn w:val="Normal"/>
    <w:next w:val="Normal"/>
    <w:rsid w:val="00106A2A"/>
    <w:pPr>
      <w:widowControl/>
      <w:spacing w:before="120" w:after="120" w:line="360" w:lineRule="auto"/>
    </w:pPr>
    <w:rPr>
      <w:rFonts w:eastAsia="Calibri"/>
      <w:i/>
      <w:szCs w:val="22"/>
      <w:u w:val="single"/>
      <w:lang w:eastAsia="en-US"/>
    </w:rPr>
  </w:style>
  <w:style w:type="paragraph" w:customStyle="1" w:styleId="AmendmentList">
    <w:name w:val="Amendment List"/>
    <w:basedOn w:val="Normal"/>
    <w:rsid w:val="00106A2A"/>
    <w:pPr>
      <w:widowControl/>
      <w:spacing w:before="120" w:after="120" w:line="360" w:lineRule="auto"/>
      <w:ind w:left="2268" w:hanging="2268"/>
    </w:pPr>
    <w:rPr>
      <w:rFonts w:eastAsia="Calibri"/>
      <w:szCs w:val="22"/>
      <w:lang w:eastAsia="en-US"/>
    </w:rPr>
  </w:style>
  <w:style w:type="paragraph" w:customStyle="1" w:styleId="ReplyRE">
    <w:name w:val="Reply RE"/>
    <w:basedOn w:val="Normal"/>
    <w:next w:val="Normal"/>
    <w:rsid w:val="00106A2A"/>
    <w:pPr>
      <w:widowControl/>
      <w:spacing w:before="120" w:after="480"/>
      <w:contextualSpacing/>
    </w:pPr>
    <w:rPr>
      <w:rFonts w:eastAsia="Calibri"/>
      <w:szCs w:val="22"/>
      <w:lang w:eastAsia="en-US"/>
    </w:rPr>
  </w:style>
  <w:style w:type="paragraph" w:customStyle="1" w:styleId="ReplyBold">
    <w:name w:val="Reply Bold"/>
    <w:basedOn w:val="ReplyRE"/>
    <w:next w:val="Normal"/>
    <w:rsid w:val="00106A2A"/>
    <w:rPr>
      <w:b/>
    </w:rPr>
  </w:style>
  <w:style w:type="paragraph" w:customStyle="1" w:styleId="Annex">
    <w:name w:val="Annex"/>
    <w:basedOn w:val="Normal"/>
    <w:next w:val="Normal"/>
    <w:rsid w:val="00106A2A"/>
    <w:pPr>
      <w:widowControl/>
      <w:spacing w:before="120" w:after="120" w:line="360" w:lineRule="auto"/>
      <w:jc w:val="right"/>
    </w:pPr>
    <w:rPr>
      <w:rFonts w:eastAsia="Calibri"/>
      <w:b/>
      <w:szCs w:val="22"/>
      <w:u w:val="single"/>
      <w:lang w:eastAsia="en-US"/>
    </w:rPr>
  </w:style>
  <w:style w:type="paragraph" w:customStyle="1" w:styleId="Sign">
    <w:name w:val="Sign"/>
    <w:basedOn w:val="Normal"/>
    <w:rsid w:val="00106A2A"/>
    <w:pPr>
      <w:widowControl/>
      <w:tabs>
        <w:tab w:val="center" w:pos="7087"/>
      </w:tabs>
      <w:spacing w:before="120" w:after="120" w:line="360" w:lineRule="auto"/>
      <w:contextualSpacing/>
    </w:pPr>
    <w:rPr>
      <w:rFonts w:eastAsia="Calibri"/>
      <w:szCs w:val="22"/>
      <w:lang w:eastAsia="en-US"/>
    </w:rPr>
  </w:style>
  <w:style w:type="paragraph" w:customStyle="1" w:styleId="NotDeclassified">
    <w:name w:val="Not Declassified"/>
    <w:basedOn w:val="Normal"/>
    <w:next w:val="Normal"/>
    <w:rsid w:val="00106A2A"/>
    <w:pPr>
      <w:widowControl/>
      <w:spacing w:before="120" w:after="120" w:line="360" w:lineRule="auto"/>
    </w:pPr>
    <w:rPr>
      <w:rFonts w:eastAsia="Calibri"/>
      <w:b/>
      <w:szCs w:val="22"/>
      <w:shd w:val="clear" w:color="auto" w:fill="CCCCCC"/>
      <w:lang w:eastAsia="en-US"/>
    </w:rPr>
  </w:style>
  <w:style w:type="character" w:customStyle="1" w:styleId="NotDeclassifiedCharacter">
    <w:name w:val="Not Declassified Character"/>
    <w:basedOn w:val="DefaultParagraphFont"/>
    <w:rsid w:val="00106A2A"/>
    <w:rPr>
      <w:rFonts w:ascii="Times New Roman" w:hAnsi="Times New Roman" w:cs="Times New Roman"/>
      <w:b/>
      <w:sz w:val="24"/>
      <w:shd w:val="clear" w:color="auto" w:fill="CCCCCC"/>
    </w:rPr>
  </w:style>
  <w:style w:type="paragraph" w:customStyle="1" w:styleId="NormalCompact">
    <w:name w:val="Normal Compact"/>
    <w:basedOn w:val="Normal"/>
    <w:next w:val="Normal"/>
    <w:rsid w:val="00106A2A"/>
    <w:pPr>
      <w:widowControl/>
      <w:spacing w:before="120" w:after="120"/>
    </w:pPr>
    <w:rPr>
      <w:rFonts w:eastAsia="Calibri"/>
      <w:szCs w:val="22"/>
      <w:lang w:eastAsia="en-US"/>
    </w:rPr>
  </w:style>
  <w:style w:type="paragraph" w:customStyle="1" w:styleId="Heading11">
    <w:name w:val="Heading 11"/>
    <w:basedOn w:val="Normal"/>
    <w:next w:val="Text1"/>
    <w:uiPriority w:val="9"/>
    <w:qFormat/>
    <w:rsid w:val="00106A2A"/>
    <w:pPr>
      <w:keepNext/>
      <w:widowControl/>
      <w:numPr>
        <w:numId w:val="30"/>
      </w:numPr>
      <w:tabs>
        <w:tab w:val="num" w:pos="360"/>
        <w:tab w:val="num" w:pos="850"/>
      </w:tabs>
      <w:spacing w:before="360" w:after="120" w:line="360" w:lineRule="auto"/>
      <w:ind w:left="850" w:hanging="850"/>
      <w:jc w:val="both"/>
      <w:outlineLvl w:val="0"/>
    </w:pPr>
    <w:rPr>
      <w:rFonts w:ascii="Calibri Light" w:hAnsi="Calibri Light"/>
      <w:color w:val="2F5496"/>
      <w:sz w:val="32"/>
      <w:szCs w:val="32"/>
      <w:lang w:eastAsia="en-US"/>
    </w:rPr>
  </w:style>
  <w:style w:type="paragraph" w:customStyle="1" w:styleId="Heading21">
    <w:name w:val="Heading 21"/>
    <w:basedOn w:val="Normal"/>
    <w:next w:val="Text1"/>
    <w:uiPriority w:val="9"/>
    <w:unhideWhenUsed/>
    <w:qFormat/>
    <w:rsid w:val="00106A2A"/>
    <w:pPr>
      <w:keepNext/>
      <w:widowControl/>
      <w:numPr>
        <w:ilvl w:val="1"/>
        <w:numId w:val="30"/>
      </w:numPr>
      <w:tabs>
        <w:tab w:val="num" w:pos="360"/>
      </w:tabs>
      <w:spacing w:before="120" w:after="120" w:line="360" w:lineRule="auto"/>
      <w:ind w:left="0" w:firstLine="0"/>
      <w:jc w:val="both"/>
      <w:outlineLvl w:val="1"/>
    </w:pPr>
    <w:rPr>
      <w:b/>
      <w:bCs/>
      <w:szCs w:val="26"/>
      <w:lang w:eastAsia="en-US"/>
    </w:rPr>
  </w:style>
  <w:style w:type="paragraph" w:customStyle="1" w:styleId="Heading31">
    <w:name w:val="Heading 31"/>
    <w:basedOn w:val="Normal"/>
    <w:next w:val="Text1"/>
    <w:uiPriority w:val="9"/>
    <w:unhideWhenUsed/>
    <w:qFormat/>
    <w:rsid w:val="00106A2A"/>
    <w:pPr>
      <w:keepNext/>
      <w:widowControl/>
      <w:numPr>
        <w:ilvl w:val="2"/>
        <w:numId w:val="30"/>
      </w:numPr>
      <w:tabs>
        <w:tab w:val="num" w:pos="360"/>
      </w:tabs>
      <w:spacing w:before="120" w:after="120" w:line="360" w:lineRule="auto"/>
      <w:ind w:left="0" w:firstLine="0"/>
      <w:jc w:val="both"/>
      <w:outlineLvl w:val="2"/>
    </w:pPr>
    <w:rPr>
      <w:bCs/>
      <w:i/>
      <w:szCs w:val="22"/>
      <w:lang w:eastAsia="en-US"/>
    </w:rPr>
  </w:style>
  <w:style w:type="paragraph" w:customStyle="1" w:styleId="Heading41">
    <w:name w:val="Heading 41"/>
    <w:basedOn w:val="Normal"/>
    <w:next w:val="Text1"/>
    <w:uiPriority w:val="9"/>
    <w:semiHidden/>
    <w:unhideWhenUsed/>
    <w:qFormat/>
    <w:rsid w:val="00106A2A"/>
    <w:pPr>
      <w:keepNext/>
      <w:widowControl/>
      <w:numPr>
        <w:ilvl w:val="3"/>
        <w:numId w:val="30"/>
      </w:numPr>
      <w:tabs>
        <w:tab w:val="num" w:pos="360"/>
      </w:tabs>
      <w:spacing w:before="120" w:after="120" w:line="360" w:lineRule="auto"/>
      <w:ind w:left="0" w:firstLine="0"/>
      <w:jc w:val="both"/>
      <w:outlineLvl w:val="3"/>
    </w:pPr>
    <w:rPr>
      <w:bCs/>
      <w:iCs/>
      <w:szCs w:val="22"/>
      <w:lang w:eastAsia="en-US"/>
    </w:rPr>
  </w:style>
  <w:style w:type="paragraph" w:customStyle="1" w:styleId="Heading51">
    <w:name w:val="Heading 51"/>
    <w:basedOn w:val="Normal"/>
    <w:next w:val="Normal"/>
    <w:uiPriority w:val="9"/>
    <w:semiHidden/>
    <w:unhideWhenUsed/>
    <w:qFormat/>
    <w:rsid w:val="00106A2A"/>
    <w:pPr>
      <w:keepNext/>
      <w:keepLines/>
      <w:widowControl/>
      <w:numPr>
        <w:ilvl w:val="4"/>
        <w:numId w:val="30"/>
      </w:numPr>
      <w:spacing w:before="40" w:line="360" w:lineRule="auto"/>
      <w:ind w:left="0" w:firstLine="0"/>
      <w:jc w:val="both"/>
      <w:outlineLvl w:val="4"/>
    </w:pPr>
    <w:rPr>
      <w:rFonts w:ascii="Calibri Light" w:hAnsi="Calibri Light"/>
      <w:color w:val="2E74B5"/>
      <w:sz w:val="22"/>
      <w:szCs w:val="22"/>
      <w:lang w:eastAsia="en-US"/>
    </w:rPr>
  </w:style>
  <w:style w:type="paragraph" w:customStyle="1" w:styleId="Heading61">
    <w:name w:val="Heading 61"/>
    <w:basedOn w:val="Normal"/>
    <w:next w:val="Normal"/>
    <w:uiPriority w:val="9"/>
    <w:semiHidden/>
    <w:unhideWhenUsed/>
    <w:qFormat/>
    <w:rsid w:val="00106A2A"/>
    <w:pPr>
      <w:keepNext/>
      <w:keepLines/>
      <w:widowControl/>
      <w:numPr>
        <w:ilvl w:val="5"/>
        <w:numId w:val="30"/>
      </w:numPr>
      <w:spacing w:before="40" w:line="360" w:lineRule="auto"/>
      <w:ind w:left="0" w:firstLine="0"/>
      <w:jc w:val="both"/>
      <w:outlineLvl w:val="5"/>
    </w:pPr>
    <w:rPr>
      <w:rFonts w:ascii="Calibri Light" w:hAnsi="Calibri Light"/>
      <w:color w:val="1F4D78"/>
      <w:sz w:val="22"/>
      <w:szCs w:val="22"/>
      <w:lang w:eastAsia="en-US"/>
    </w:rPr>
  </w:style>
  <w:style w:type="paragraph" w:customStyle="1" w:styleId="Heading71">
    <w:name w:val="Heading 71"/>
    <w:basedOn w:val="Normal"/>
    <w:next w:val="Normal"/>
    <w:uiPriority w:val="9"/>
    <w:semiHidden/>
    <w:unhideWhenUsed/>
    <w:qFormat/>
    <w:rsid w:val="00106A2A"/>
    <w:pPr>
      <w:keepNext/>
      <w:keepLines/>
      <w:widowControl/>
      <w:numPr>
        <w:ilvl w:val="6"/>
        <w:numId w:val="30"/>
      </w:numPr>
      <w:spacing w:before="40" w:line="360" w:lineRule="auto"/>
      <w:ind w:left="0" w:firstLine="0"/>
      <w:jc w:val="both"/>
      <w:outlineLvl w:val="6"/>
    </w:pPr>
    <w:rPr>
      <w:rFonts w:ascii="Calibri Light" w:hAnsi="Calibri Light"/>
      <w:i/>
      <w:iCs/>
      <w:color w:val="1F4D78"/>
      <w:sz w:val="22"/>
      <w:szCs w:val="22"/>
      <w:lang w:eastAsia="en-US"/>
    </w:rPr>
  </w:style>
  <w:style w:type="paragraph" w:customStyle="1" w:styleId="Heading81">
    <w:name w:val="Heading 81"/>
    <w:basedOn w:val="Normal"/>
    <w:next w:val="Normal"/>
    <w:uiPriority w:val="9"/>
    <w:semiHidden/>
    <w:unhideWhenUsed/>
    <w:qFormat/>
    <w:rsid w:val="00106A2A"/>
    <w:pPr>
      <w:keepNext/>
      <w:keepLines/>
      <w:widowControl/>
      <w:numPr>
        <w:ilvl w:val="7"/>
        <w:numId w:val="30"/>
      </w:numPr>
      <w:spacing w:before="40" w:line="360" w:lineRule="auto"/>
      <w:ind w:left="0" w:firstLine="0"/>
      <w:jc w:val="both"/>
      <w:outlineLvl w:val="7"/>
    </w:pPr>
    <w:rPr>
      <w:rFonts w:ascii="Calibri Light" w:hAnsi="Calibri Light"/>
      <w:color w:val="272727"/>
      <w:sz w:val="21"/>
      <w:szCs w:val="21"/>
      <w:lang w:eastAsia="en-US"/>
    </w:rPr>
  </w:style>
  <w:style w:type="paragraph" w:customStyle="1" w:styleId="Heading91">
    <w:name w:val="Heading 91"/>
    <w:basedOn w:val="Normal"/>
    <w:next w:val="Normal"/>
    <w:uiPriority w:val="9"/>
    <w:semiHidden/>
    <w:unhideWhenUsed/>
    <w:qFormat/>
    <w:rsid w:val="00106A2A"/>
    <w:pPr>
      <w:keepNext/>
      <w:keepLines/>
      <w:widowControl/>
      <w:numPr>
        <w:ilvl w:val="8"/>
        <w:numId w:val="30"/>
      </w:numPr>
      <w:spacing w:before="40" w:line="360" w:lineRule="auto"/>
      <w:ind w:left="0" w:firstLine="0"/>
      <w:jc w:val="both"/>
      <w:outlineLvl w:val="8"/>
    </w:pPr>
    <w:rPr>
      <w:rFonts w:ascii="Calibri Light" w:hAnsi="Calibri Light"/>
      <w:i/>
      <w:iCs/>
      <w:color w:val="272727"/>
      <w:sz w:val="21"/>
      <w:szCs w:val="21"/>
      <w:lang w:eastAsia="en-US"/>
    </w:rPr>
  </w:style>
  <w:style w:type="character" w:customStyle="1" w:styleId="Heading1Char1">
    <w:name w:val="Heading 1 Char1"/>
    <w:basedOn w:val="DefaultParagraphFont"/>
    <w:uiPriority w:val="9"/>
    <w:rsid w:val="00106A2A"/>
    <w:rPr>
      <w:rFonts w:ascii="Calibri Light" w:eastAsia="Times New Roman" w:hAnsi="Calibri Light" w:cs="Times New Roman"/>
      <w:color w:val="2F5496"/>
      <w:sz w:val="32"/>
      <w:szCs w:val="32"/>
    </w:rPr>
  </w:style>
  <w:style w:type="paragraph" w:customStyle="1" w:styleId="HeaderSensitivity">
    <w:name w:val="Header Sensitivity"/>
    <w:basedOn w:val="Normal"/>
    <w:rsid w:val="00106A2A"/>
    <w:pPr>
      <w:widowControl/>
      <w:pBdr>
        <w:top w:val="single" w:sz="4" w:space="1" w:color="auto"/>
        <w:left w:val="single" w:sz="4" w:space="4" w:color="auto"/>
        <w:bottom w:val="single" w:sz="4" w:space="1" w:color="auto"/>
        <w:right w:val="single" w:sz="4" w:space="4" w:color="auto"/>
      </w:pBdr>
      <w:spacing w:after="120" w:line="360" w:lineRule="auto"/>
      <w:ind w:left="113" w:right="113"/>
      <w:jc w:val="center"/>
    </w:pPr>
    <w:rPr>
      <w:rFonts w:eastAsia="Calibri"/>
      <w:b/>
      <w:sz w:val="32"/>
      <w:szCs w:val="22"/>
      <w:lang w:eastAsia="en-US"/>
    </w:rPr>
  </w:style>
  <w:style w:type="paragraph" w:customStyle="1" w:styleId="FooterSensitivity">
    <w:name w:val="Footer Sensitivity"/>
    <w:basedOn w:val="Normal"/>
    <w:rsid w:val="00106A2A"/>
    <w:pPr>
      <w:widowControl/>
      <w:pBdr>
        <w:top w:val="single" w:sz="4" w:space="1" w:color="auto"/>
        <w:left w:val="single" w:sz="4" w:space="4" w:color="auto"/>
        <w:bottom w:val="single" w:sz="4" w:space="1" w:color="auto"/>
        <w:right w:val="single" w:sz="4" w:space="4" w:color="auto"/>
      </w:pBdr>
      <w:spacing w:before="360" w:line="360" w:lineRule="auto"/>
      <w:ind w:left="113" w:right="113"/>
      <w:jc w:val="center"/>
    </w:pPr>
    <w:rPr>
      <w:rFonts w:eastAsia="Calibri"/>
      <w:b/>
      <w:sz w:val="32"/>
      <w:szCs w:val="22"/>
      <w:lang w:eastAsia="en-US"/>
    </w:rPr>
  </w:style>
  <w:style w:type="character" w:customStyle="1" w:styleId="Marker2">
    <w:name w:val="Marker2"/>
    <w:basedOn w:val="DefaultParagraphFont"/>
    <w:rsid w:val="00106A2A"/>
    <w:rPr>
      <w:color w:val="FF0000"/>
      <w:shd w:val="clear" w:color="auto" w:fill="auto"/>
    </w:rPr>
  </w:style>
  <w:style w:type="paragraph" w:customStyle="1" w:styleId="Langue">
    <w:name w:val="Langue"/>
    <w:basedOn w:val="Normal"/>
    <w:next w:val="Rfrenceinterne"/>
    <w:rsid w:val="00106A2A"/>
    <w:pPr>
      <w:framePr w:wrap="around" w:vAnchor="page" w:hAnchor="text" w:xAlign="center" w:y="14741"/>
      <w:widowControl/>
      <w:spacing w:after="600" w:line="360" w:lineRule="auto"/>
      <w:jc w:val="center"/>
    </w:pPr>
    <w:rPr>
      <w:rFonts w:eastAsia="Calibri"/>
      <w:b/>
      <w:caps/>
      <w:szCs w:val="22"/>
      <w:lang w:eastAsia="en-US"/>
    </w:rPr>
  </w:style>
  <w:style w:type="paragraph" w:customStyle="1" w:styleId="Nomdelinstitution">
    <w:name w:val="Nom de l'institution"/>
    <w:basedOn w:val="Normal"/>
    <w:next w:val="Emission"/>
    <w:rsid w:val="00106A2A"/>
    <w:pPr>
      <w:widowControl/>
      <w:spacing w:line="360" w:lineRule="auto"/>
    </w:pPr>
    <w:rPr>
      <w:rFonts w:ascii="Arial" w:eastAsia="Calibri" w:hAnsi="Arial" w:cs="Arial"/>
      <w:szCs w:val="22"/>
      <w:lang w:eastAsia="en-US"/>
    </w:rPr>
  </w:style>
  <w:style w:type="paragraph" w:customStyle="1" w:styleId="Emission">
    <w:name w:val="Emission"/>
    <w:basedOn w:val="Normal"/>
    <w:next w:val="Rfrenceinstitutionnelle"/>
    <w:rsid w:val="00106A2A"/>
    <w:pPr>
      <w:widowControl/>
      <w:spacing w:line="360" w:lineRule="auto"/>
      <w:ind w:left="5103"/>
    </w:pPr>
    <w:rPr>
      <w:rFonts w:eastAsia="Calibri"/>
      <w:szCs w:val="22"/>
      <w:lang w:eastAsia="en-US"/>
    </w:rPr>
  </w:style>
  <w:style w:type="paragraph" w:customStyle="1" w:styleId="Rfrenceinstitutionnelle">
    <w:name w:val="Référence institutionnelle"/>
    <w:basedOn w:val="Normal"/>
    <w:next w:val="Confidentialit"/>
    <w:rsid w:val="00106A2A"/>
    <w:pPr>
      <w:widowControl/>
      <w:spacing w:after="240" w:line="360" w:lineRule="auto"/>
      <w:ind w:left="5103"/>
    </w:pPr>
    <w:rPr>
      <w:rFonts w:eastAsia="Calibri"/>
      <w:szCs w:val="22"/>
      <w:lang w:eastAsia="en-US"/>
    </w:rPr>
  </w:style>
  <w:style w:type="paragraph" w:customStyle="1" w:styleId="Pagedecouverture">
    <w:name w:val="Page de couverture"/>
    <w:basedOn w:val="Normal"/>
    <w:next w:val="Normal"/>
    <w:rsid w:val="00106A2A"/>
    <w:pPr>
      <w:widowControl/>
      <w:spacing w:line="360" w:lineRule="auto"/>
      <w:jc w:val="both"/>
    </w:pPr>
    <w:rPr>
      <w:rFonts w:eastAsia="Calibri"/>
      <w:szCs w:val="22"/>
      <w:lang w:eastAsia="en-US"/>
    </w:rPr>
  </w:style>
  <w:style w:type="paragraph" w:customStyle="1" w:styleId="Declassification">
    <w:name w:val="Declassification"/>
    <w:basedOn w:val="Normal"/>
    <w:next w:val="Normal"/>
    <w:rsid w:val="00106A2A"/>
    <w:pPr>
      <w:widowControl/>
      <w:spacing w:line="360" w:lineRule="auto"/>
      <w:jc w:val="both"/>
    </w:pPr>
    <w:rPr>
      <w:rFonts w:eastAsia="Calibri"/>
      <w:szCs w:val="22"/>
      <w:lang w:eastAsia="en-US"/>
    </w:rPr>
  </w:style>
  <w:style w:type="paragraph" w:customStyle="1" w:styleId="Disclaimer">
    <w:name w:val="Disclaimer"/>
    <w:basedOn w:val="Normal"/>
    <w:rsid w:val="00106A2A"/>
    <w:pPr>
      <w:framePr w:w="8220" w:wrap="notBeside" w:hAnchor="margin" w:xAlign="center" w:y="10401"/>
      <w:widowControl/>
      <w:pBdr>
        <w:top w:val="single" w:sz="6" w:space="4" w:color="auto"/>
        <w:left w:val="single" w:sz="6" w:space="7" w:color="auto"/>
        <w:bottom w:val="single" w:sz="6" w:space="4" w:color="auto"/>
        <w:right w:val="single" w:sz="6" w:space="7" w:color="auto"/>
      </w:pBdr>
      <w:shd w:val="clear" w:color="FFFFFF" w:fill="auto"/>
      <w:spacing w:before="120" w:after="120" w:line="360" w:lineRule="auto"/>
      <w:jc w:val="both"/>
    </w:pPr>
    <w:rPr>
      <w:rFonts w:eastAsia="Calibri"/>
      <w:szCs w:val="22"/>
      <w:lang w:eastAsia="en-US"/>
    </w:rPr>
  </w:style>
  <w:style w:type="paragraph" w:customStyle="1" w:styleId="Annexetitreexpos">
    <w:name w:val="Annexe titre (exposé)"/>
    <w:basedOn w:val="Normal"/>
    <w:next w:val="Normal"/>
    <w:rsid w:val="00106A2A"/>
    <w:pPr>
      <w:widowControl/>
      <w:spacing w:before="120" w:after="120" w:line="360" w:lineRule="auto"/>
      <w:jc w:val="center"/>
    </w:pPr>
    <w:rPr>
      <w:rFonts w:eastAsia="Calibri"/>
      <w:b/>
      <w:szCs w:val="22"/>
      <w:u w:val="single"/>
      <w:lang w:eastAsia="en-US"/>
    </w:rPr>
  </w:style>
  <w:style w:type="paragraph" w:customStyle="1" w:styleId="Annexetitrefichefinancire">
    <w:name w:val="Annexe titre (fiche financière)"/>
    <w:basedOn w:val="Normal"/>
    <w:next w:val="Normal"/>
    <w:rsid w:val="00106A2A"/>
    <w:pPr>
      <w:widowControl/>
      <w:spacing w:before="120" w:after="120" w:line="360" w:lineRule="auto"/>
      <w:jc w:val="center"/>
    </w:pPr>
    <w:rPr>
      <w:rFonts w:eastAsia="Calibri"/>
      <w:b/>
      <w:szCs w:val="22"/>
      <w:u w:val="single"/>
      <w:lang w:eastAsia="en-US"/>
    </w:rPr>
  </w:style>
  <w:style w:type="paragraph" w:customStyle="1" w:styleId="Avertissementtitre">
    <w:name w:val="Avertissement titre"/>
    <w:basedOn w:val="Normal"/>
    <w:next w:val="Normal"/>
    <w:rsid w:val="00106A2A"/>
    <w:pPr>
      <w:keepNext/>
      <w:widowControl/>
      <w:spacing w:before="480" w:after="120" w:line="360" w:lineRule="auto"/>
      <w:jc w:val="both"/>
    </w:pPr>
    <w:rPr>
      <w:rFonts w:eastAsia="Calibri"/>
      <w:szCs w:val="22"/>
      <w:u w:val="single"/>
      <w:lang w:eastAsia="en-US"/>
    </w:rPr>
  </w:style>
  <w:style w:type="paragraph" w:customStyle="1" w:styleId="Confidence">
    <w:name w:val="Confidence"/>
    <w:basedOn w:val="Normal"/>
    <w:next w:val="Normal"/>
    <w:rsid w:val="00106A2A"/>
    <w:pPr>
      <w:widowControl/>
      <w:spacing w:before="360" w:after="120" w:line="360" w:lineRule="auto"/>
      <w:jc w:val="center"/>
    </w:pPr>
    <w:rPr>
      <w:rFonts w:eastAsia="Calibri"/>
      <w:szCs w:val="22"/>
      <w:lang w:eastAsia="en-US"/>
    </w:rPr>
  </w:style>
  <w:style w:type="paragraph" w:customStyle="1" w:styleId="Confidentialit">
    <w:name w:val="Confidentialité"/>
    <w:basedOn w:val="Normal"/>
    <w:next w:val="TypedudocumentPagedecouverture"/>
    <w:rsid w:val="00106A2A"/>
    <w:pPr>
      <w:widowControl/>
      <w:spacing w:before="240" w:after="240" w:line="360" w:lineRule="auto"/>
      <w:ind w:left="5103"/>
    </w:pPr>
    <w:rPr>
      <w:rFonts w:eastAsia="Calibri"/>
      <w:i/>
      <w:sz w:val="32"/>
      <w:szCs w:val="22"/>
      <w:lang w:eastAsia="en-US"/>
    </w:rPr>
  </w:style>
  <w:style w:type="paragraph" w:customStyle="1" w:styleId="Corrigendum">
    <w:name w:val="Corrigendum"/>
    <w:basedOn w:val="Normal"/>
    <w:next w:val="Normal"/>
    <w:rsid w:val="00106A2A"/>
    <w:pPr>
      <w:widowControl/>
      <w:spacing w:after="240" w:line="360" w:lineRule="auto"/>
    </w:pPr>
    <w:rPr>
      <w:rFonts w:eastAsia="Calibri"/>
      <w:szCs w:val="22"/>
      <w:lang w:eastAsia="en-US"/>
    </w:rPr>
  </w:style>
  <w:style w:type="paragraph" w:customStyle="1" w:styleId="Exposdesmotifstitre">
    <w:name w:val="Exposé des motifs titre"/>
    <w:basedOn w:val="Normal"/>
    <w:next w:val="Normal"/>
    <w:rsid w:val="00106A2A"/>
    <w:pPr>
      <w:widowControl/>
      <w:spacing w:before="120" w:after="120" w:line="360" w:lineRule="auto"/>
      <w:jc w:val="center"/>
    </w:pPr>
    <w:rPr>
      <w:rFonts w:eastAsia="Calibri"/>
      <w:b/>
      <w:szCs w:val="22"/>
      <w:u w:val="single"/>
      <w:lang w:eastAsia="en-US"/>
    </w:rPr>
  </w:style>
  <w:style w:type="paragraph" w:customStyle="1" w:styleId="Rfrenceinterinstitutionnelle">
    <w:name w:val="Référence interinstitutionnelle"/>
    <w:basedOn w:val="Normal"/>
    <w:next w:val="Statut"/>
    <w:rsid w:val="00106A2A"/>
    <w:pPr>
      <w:widowControl/>
      <w:spacing w:line="360" w:lineRule="auto"/>
      <w:ind w:left="5103"/>
    </w:pPr>
    <w:rPr>
      <w:rFonts w:eastAsia="Calibri"/>
      <w:szCs w:val="22"/>
      <w:lang w:eastAsia="en-US"/>
    </w:rPr>
  </w:style>
  <w:style w:type="paragraph" w:customStyle="1" w:styleId="Rfrenceinterne">
    <w:name w:val="Référence interne"/>
    <w:basedOn w:val="Normal"/>
    <w:next w:val="Rfrenceinterinstitutionnelle"/>
    <w:rsid w:val="00106A2A"/>
    <w:pPr>
      <w:widowControl/>
      <w:spacing w:line="360" w:lineRule="auto"/>
      <w:ind w:left="5103"/>
    </w:pPr>
    <w:rPr>
      <w:rFonts w:eastAsia="Calibri"/>
      <w:szCs w:val="22"/>
      <w:lang w:eastAsia="en-US"/>
    </w:rPr>
  </w:style>
  <w:style w:type="character" w:customStyle="1" w:styleId="Added">
    <w:name w:val="Added"/>
    <w:basedOn w:val="DefaultParagraphFont"/>
    <w:rsid w:val="00106A2A"/>
    <w:rPr>
      <w:b/>
      <w:u w:val="single"/>
      <w:shd w:val="clear" w:color="auto" w:fill="auto"/>
    </w:rPr>
  </w:style>
  <w:style w:type="character" w:customStyle="1" w:styleId="Deleted">
    <w:name w:val="Deleted"/>
    <w:basedOn w:val="DefaultParagraphFont"/>
    <w:rsid w:val="00106A2A"/>
    <w:rPr>
      <w:strike/>
      <w:dstrike w:val="0"/>
      <w:shd w:val="clear" w:color="auto" w:fill="auto"/>
    </w:rPr>
  </w:style>
  <w:style w:type="paragraph" w:customStyle="1" w:styleId="Address">
    <w:name w:val="Address"/>
    <w:basedOn w:val="Normal"/>
    <w:next w:val="Normal"/>
    <w:rsid w:val="00106A2A"/>
    <w:pPr>
      <w:keepLines/>
      <w:widowControl/>
      <w:spacing w:before="120" w:after="120" w:line="360" w:lineRule="auto"/>
      <w:ind w:left="3402"/>
    </w:pPr>
    <w:rPr>
      <w:rFonts w:eastAsia="Calibri"/>
      <w:szCs w:val="22"/>
      <w:lang w:eastAsia="en-US"/>
    </w:rPr>
  </w:style>
  <w:style w:type="paragraph" w:customStyle="1" w:styleId="Objetexterne">
    <w:name w:val="Objet externe"/>
    <w:basedOn w:val="Normal"/>
    <w:next w:val="Normal"/>
    <w:rsid w:val="00106A2A"/>
    <w:pPr>
      <w:widowControl/>
      <w:spacing w:before="120" w:after="120" w:line="360" w:lineRule="auto"/>
      <w:jc w:val="both"/>
    </w:pPr>
    <w:rPr>
      <w:rFonts w:eastAsia="Calibri"/>
      <w:i/>
      <w:caps/>
      <w:szCs w:val="22"/>
      <w:lang w:eastAsia="en-US"/>
    </w:rPr>
  </w:style>
  <w:style w:type="paragraph" w:customStyle="1" w:styleId="Supertitre">
    <w:name w:val="Supertitre"/>
    <w:basedOn w:val="Normal"/>
    <w:next w:val="Normal"/>
    <w:rsid w:val="00106A2A"/>
    <w:pPr>
      <w:widowControl/>
      <w:spacing w:after="600" w:line="360" w:lineRule="auto"/>
      <w:jc w:val="center"/>
    </w:pPr>
    <w:rPr>
      <w:rFonts w:eastAsia="Calibri"/>
      <w:b/>
      <w:szCs w:val="22"/>
      <w:lang w:eastAsia="en-US"/>
    </w:rPr>
  </w:style>
  <w:style w:type="paragraph" w:customStyle="1" w:styleId="Rfrencecroise">
    <w:name w:val="Référence croisée"/>
    <w:basedOn w:val="Normal"/>
    <w:rsid w:val="00106A2A"/>
    <w:pPr>
      <w:widowControl/>
      <w:spacing w:line="360" w:lineRule="auto"/>
      <w:jc w:val="center"/>
    </w:pPr>
    <w:rPr>
      <w:rFonts w:eastAsia="Calibri"/>
      <w:szCs w:val="22"/>
      <w:lang w:eastAsia="en-US"/>
    </w:rPr>
  </w:style>
  <w:style w:type="paragraph" w:customStyle="1" w:styleId="Fichefinanciretitre">
    <w:name w:val="Fiche financière titre"/>
    <w:basedOn w:val="Normal"/>
    <w:next w:val="Normal"/>
    <w:rsid w:val="00106A2A"/>
    <w:pPr>
      <w:widowControl/>
      <w:spacing w:before="120" w:after="120" w:line="360" w:lineRule="auto"/>
      <w:jc w:val="center"/>
    </w:pPr>
    <w:rPr>
      <w:rFonts w:eastAsia="Calibri"/>
      <w:b/>
      <w:szCs w:val="22"/>
      <w:u w:val="single"/>
      <w:lang w:eastAsia="en-US"/>
    </w:rPr>
  </w:style>
  <w:style w:type="paragraph" w:customStyle="1" w:styleId="DatedadoptionPagedecouverture">
    <w:name w:val="Date d'adoption (Page de couverture)"/>
    <w:basedOn w:val="Datedadoption"/>
    <w:next w:val="TitreobjetPagedecouverture"/>
    <w:rsid w:val="00106A2A"/>
  </w:style>
  <w:style w:type="paragraph" w:customStyle="1" w:styleId="RfrenceinterinstitutionnellePagedecouverture">
    <w:name w:val="Référence interinstitutionnelle (Page de couverture)"/>
    <w:basedOn w:val="Rfrenceinterinstitutionnelle"/>
    <w:next w:val="Confidentialit"/>
    <w:rsid w:val="00106A2A"/>
  </w:style>
  <w:style w:type="paragraph" w:customStyle="1" w:styleId="StatutPagedecouverture">
    <w:name w:val="Statut (Page de couverture)"/>
    <w:basedOn w:val="Statut"/>
    <w:next w:val="TypedudocumentPagedecouverture"/>
    <w:rsid w:val="00106A2A"/>
  </w:style>
  <w:style w:type="paragraph" w:customStyle="1" w:styleId="TitreobjetPagedecouverture">
    <w:name w:val="Titre objet (Page de couverture)"/>
    <w:basedOn w:val="Titreobjet"/>
    <w:next w:val="IntrtEEEPagedecouverture"/>
    <w:rsid w:val="00106A2A"/>
  </w:style>
  <w:style w:type="paragraph" w:customStyle="1" w:styleId="TypedudocumentPagedecouverture">
    <w:name w:val="Type du document (Page de couverture)"/>
    <w:basedOn w:val="Typedudocument"/>
    <w:next w:val="TitreobjetPagedecouverture"/>
    <w:rsid w:val="00106A2A"/>
  </w:style>
  <w:style w:type="paragraph" w:customStyle="1" w:styleId="Volume">
    <w:name w:val="Volume"/>
    <w:basedOn w:val="Normal"/>
    <w:next w:val="Confidentialit"/>
    <w:rsid w:val="00106A2A"/>
    <w:pPr>
      <w:widowControl/>
      <w:spacing w:after="240" w:line="360" w:lineRule="auto"/>
      <w:ind w:left="5103"/>
    </w:pPr>
    <w:rPr>
      <w:rFonts w:eastAsia="Calibri"/>
      <w:szCs w:val="22"/>
      <w:lang w:eastAsia="en-US"/>
    </w:rPr>
  </w:style>
  <w:style w:type="paragraph" w:customStyle="1" w:styleId="Accompagnant">
    <w:name w:val="Accompagnant"/>
    <w:basedOn w:val="Normal"/>
    <w:next w:val="Typeacteprincipal"/>
    <w:rsid w:val="00106A2A"/>
    <w:pPr>
      <w:widowControl/>
      <w:spacing w:after="240" w:line="360" w:lineRule="auto"/>
      <w:jc w:val="center"/>
    </w:pPr>
    <w:rPr>
      <w:rFonts w:eastAsia="Calibri"/>
      <w:b/>
      <w:i/>
      <w:szCs w:val="22"/>
      <w:lang w:eastAsia="en-US"/>
    </w:rPr>
  </w:style>
  <w:style w:type="paragraph" w:customStyle="1" w:styleId="Typeacteprincipal">
    <w:name w:val="Type acte principal"/>
    <w:basedOn w:val="Normal"/>
    <w:next w:val="Objetacteprincipal"/>
    <w:rsid w:val="00106A2A"/>
    <w:pPr>
      <w:widowControl/>
      <w:spacing w:after="240" w:line="360" w:lineRule="auto"/>
      <w:jc w:val="center"/>
    </w:pPr>
    <w:rPr>
      <w:rFonts w:eastAsia="Calibri"/>
      <w:b/>
      <w:szCs w:val="22"/>
      <w:lang w:eastAsia="en-US"/>
    </w:rPr>
  </w:style>
  <w:style w:type="paragraph" w:customStyle="1" w:styleId="Objetacteprincipal">
    <w:name w:val="Objet acte principal"/>
    <w:basedOn w:val="Normal"/>
    <w:next w:val="Titrearticle"/>
    <w:rsid w:val="00106A2A"/>
    <w:pPr>
      <w:widowControl/>
      <w:spacing w:after="360" w:line="360" w:lineRule="auto"/>
      <w:jc w:val="center"/>
    </w:pPr>
    <w:rPr>
      <w:rFonts w:eastAsia="Calibri"/>
      <w:b/>
      <w:szCs w:val="22"/>
      <w:lang w:eastAsia="en-US"/>
    </w:rPr>
  </w:style>
  <w:style w:type="paragraph" w:customStyle="1" w:styleId="IntrtEEEPagedecouverture">
    <w:name w:val="Intérêt EEE (Page de couverture)"/>
    <w:basedOn w:val="IntrtEEE"/>
    <w:next w:val="Rfrencecroise"/>
    <w:rsid w:val="00106A2A"/>
  </w:style>
  <w:style w:type="paragraph" w:customStyle="1" w:styleId="AccompagnantPagedecouverture">
    <w:name w:val="Accompagnant (Page de couverture)"/>
    <w:basedOn w:val="Accompagnant"/>
    <w:next w:val="TypeacteprincipalPagedecouverture"/>
    <w:rsid w:val="00106A2A"/>
  </w:style>
  <w:style w:type="paragraph" w:customStyle="1" w:styleId="TypeacteprincipalPagedecouverture">
    <w:name w:val="Type acte principal (Page de couverture)"/>
    <w:basedOn w:val="Typeacteprincipal"/>
    <w:next w:val="ObjetacteprincipalPagedecouverture"/>
    <w:rsid w:val="00106A2A"/>
  </w:style>
  <w:style w:type="paragraph" w:customStyle="1" w:styleId="ObjetacteprincipalPagedecouverture">
    <w:name w:val="Objet acte principal (Page de couverture)"/>
    <w:basedOn w:val="Objetacteprincipal"/>
    <w:next w:val="Rfrencecroise"/>
    <w:rsid w:val="00106A2A"/>
  </w:style>
  <w:style w:type="paragraph" w:customStyle="1" w:styleId="LanguesfaisantfoiPagedecouverture">
    <w:name w:val="Langues faisant foi (Page de couverture)"/>
    <w:basedOn w:val="Normal"/>
    <w:next w:val="Normal"/>
    <w:rsid w:val="00106A2A"/>
    <w:pPr>
      <w:widowControl/>
      <w:spacing w:before="360" w:line="360" w:lineRule="auto"/>
      <w:jc w:val="center"/>
    </w:pPr>
    <w:rPr>
      <w:rFonts w:eastAsia="Calibri"/>
      <w:szCs w:val="22"/>
      <w:lang w:eastAsia="en-US"/>
    </w:rPr>
  </w:style>
  <w:style w:type="paragraph" w:styleId="ListBullet5">
    <w:name w:val="List Bullet 5"/>
    <w:basedOn w:val="Normal"/>
    <w:autoRedefine/>
    <w:rsid w:val="00106A2A"/>
    <w:pPr>
      <w:widowControl/>
      <w:tabs>
        <w:tab w:val="num" w:pos="1492"/>
      </w:tabs>
      <w:spacing w:before="120" w:after="120" w:line="360" w:lineRule="auto"/>
      <w:ind w:left="1492" w:hanging="360"/>
    </w:pPr>
    <w:rPr>
      <w:szCs w:val="20"/>
      <w:lang w:eastAsia="en-US"/>
    </w:rPr>
  </w:style>
  <w:style w:type="paragraph" w:styleId="ListNumber">
    <w:name w:val="List Number"/>
    <w:basedOn w:val="Normal"/>
    <w:rsid w:val="00106A2A"/>
    <w:pPr>
      <w:widowControl/>
      <w:numPr>
        <w:numId w:val="24"/>
      </w:numPr>
      <w:spacing w:before="120" w:after="120" w:line="360" w:lineRule="auto"/>
      <w:jc w:val="both"/>
    </w:pPr>
    <w:rPr>
      <w:lang w:eastAsia="de-DE"/>
    </w:rPr>
  </w:style>
  <w:style w:type="paragraph" w:customStyle="1" w:styleId="ListNumberLevel2">
    <w:name w:val="List Number (Level 2)"/>
    <w:basedOn w:val="Normal"/>
    <w:rsid w:val="00106A2A"/>
    <w:pPr>
      <w:widowControl/>
      <w:numPr>
        <w:ilvl w:val="1"/>
        <w:numId w:val="25"/>
      </w:numPr>
      <w:spacing w:before="120" w:after="120" w:line="360" w:lineRule="auto"/>
      <w:jc w:val="both"/>
    </w:pPr>
    <w:rPr>
      <w:lang w:eastAsia="de-DE"/>
    </w:rPr>
  </w:style>
  <w:style w:type="paragraph" w:customStyle="1" w:styleId="Normale">
    <w:name w:val="Normale"/>
    <w:qFormat/>
    <w:rsid w:val="00106A2A"/>
    <w:pPr>
      <w:spacing w:before="120" w:after="120" w:line="360" w:lineRule="auto"/>
      <w:jc w:val="both"/>
    </w:pPr>
    <w:rPr>
      <w:rFonts w:eastAsia="Calibri"/>
      <w:sz w:val="24"/>
      <w:szCs w:val="22"/>
      <w:lang w:val="bg-BG" w:eastAsia="en-US"/>
    </w:rPr>
  </w:style>
  <w:style w:type="character" w:customStyle="1" w:styleId="Footer2">
    <w:name w:val="Footer2"/>
    <w:uiPriority w:val="1"/>
    <w:qFormat/>
    <w:rsid w:val="00106A2A"/>
    <w:rPr>
      <w:rFonts w:ascii="Arial" w:hAnsi="Arial"/>
      <w:b/>
      <w:sz w:val="48"/>
    </w:rPr>
  </w:style>
  <w:style w:type="character" w:customStyle="1" w:styleId="Sub">
    <w:name w:val="Sub"/>
    <w:uiPriority w:val="1"/>
    <w:qFormat/>
    <w:rsid w:val="00106A2A"/>
    <w:rPr>
      <w:rFonts w:ascii="Times New Roman" w:hAnsi="Times New Roman"/>
      <w:strike w:val="0"/>
      <w:dstrike w:val="0"/>
      <w:sz w:val="24"/>
      <w:vertAlign w:val="subscript"/>
    </w:rPr>
  </w:style>
  <w:style w:type="character" w:customStyle="1" w:styleId="Italic">
    <w:name w:val="Italic"/>
    <w:uiPriority w:val="1"/>
    <w:qFormat/>
    <w:rsid w:val="00106A2A"/>
    <w:rPr>
      <w:rFonts w:ascii="Times New Roman" w:hAnsi="Times New Roman"/>
      <w:i/>
    </w:rPr>
  </w:style>
  <w:style w:type="character" w:customStyle="1" w:styleId="Bold">
    <w:name w:val="Bold"/>
    <w:uiPriority w:val="1"/>
    <w:qFormat/>
    <w:rsid w:val="00106A2A"/>
    <w:rPr>
      <w:rFonts w:ascii="Times New Roman" w:hAnsi="Times New Roman"/>
      <w:b/>
    </w:rPr>
  </w:style>
  <w:style w:type="character" w:customStyle="1" w:styleId="Underline">
    <w:name w:val="Underline"/>
    <w:uiPriority w:val="1"/>
    <w:qFormat/>
    <w:rsid w:val="00106A2A"/>
    <w:rPr>
      <w:rFonts w:ascii="Times New Roman" w:hAnsi="Times New Roman"/>
      <w:b w:val="0"/>
      <w:sz w:val="24"/>
      <w:u w:val="single"/>
    </w:rPr>
  </w:style>
  <w:style w:type="character" w:customStyle="1" w:styleId="Strikethrough">
    <w:name w:val="Strikethrough"/>
    <w:uiPriority w:val="1"/>
    <w:qFormat/>
    <w:rsid w:val="00106A2A"/>
    <w:rPr>
      <w:rFonts w:ascii="Times New Roman" w:hAnsi="Times New Roman"/>
      <w:strike/>
      <w:dstrike w:val="0"/>
      <w:sz w:val="24"/>
    </w:rPr>
  </w:style>
  <w:style w:type="character" w:customStyle="1" w:styleId="BoldItalic">
    <w:name w:val="BoldItalic"/>
    <w:basedOn w:val="Bold"/>
    <w:uiPriority w:val="1"/>
    <w:qFormat/>
    <w:rsid w:val="00106A2A"/>
    <w:rPr>
      <w:rFonts w:ascii="Times New Roman" w:hAnsi="Times New Roman"/>
      <w:b/>
      <w:i/>
    </w:rPr>
  </w:style>
  <w:style w:type="character" w:customStyle="1" w:styleId="BoldItalicFootnote">
    <w:name w:val="BoldItalicFootnote"/>
    <w:basedOn w:val="BoldItalic"/>
    <w:uiPriority w:val="1"/>
    <w:qFormat/>
    <w:rsid w:val="00106A2A"/>
    <w:rPr>
      <w:rFonts w:ascii="Times New Roman" w:hAnsi="Times New Roman"/>
      <w:b/>
      <w:i/>
      <w:sz w:val="20"/>
    </w:rPr>
  </w:style>
  <w:style w:type="character" w:customStyle="1" w:styleId="StrikethroughFootnote">
    <w:name w:val="StrikethroughFootnote"/>
    <w:basedOn w:val="Strikethrough"/>
    <w:uiPriority w:val="1"/>
    <w:qFormat/>
    <w:rsid w:val="00106A2A"/>
    <w:rPr>
      <w:rFonts w:ascii="Times New Roman" w:hAnsi="Times New Roman"/>
      <w:strike/>
      <w:dstrike w:val="0"/>
      <w:sz w:val="20"/>
    </w:rPr>
  </w:style>
  <w:style w:type="paragraph" w:customStyle="1" w:styleId="HeaderDisclaimer">
    <w:name w:val="HeaderDisclaimer"/>
    <w:basedOn w:val="Normal"/>
    <w:qFormat/>
    <w:rsid w:val="00106A2A"/>
    <w:pPr>
      <w:widowControl/>
      <w:spacing w:line="360" w:lineRule="auto"/>
      <w:jc w:val="both"/>
    </w:pPr>
    <w:rPr>
      <w:rFonts w:ascii="Calibri" w:eastAsia="Calibri" w:hAnsi="Calibri"/>
      <w:i/>
      <w:sz w:val="16"/>
      <w:szCs w:val="22"/>
      <w:lang w:eastAsia="en-US"/>
    </w:rPr>
  </w:style>
  <w:style w:type="paragraph" w:customStyle="1" w:styleId="Normal12b">
    <w:name w:val="Normal12b"/>
    <w:basedOn w:val="Normal"/>
    <w:qFormat/>
    <w:rsid w:val="00106A2A"/>
    <w:pPr>
      <w:widowControl/>
      <w:spacing w:before="120" w:after="120" w:line="360" w:lineRule="auto"/>
    </w:pPr>
    <w:rPr>
      <w:rFonts w:eastAsia="Calibri"/>
      <w:b/>
      <w:szCs w:val="22"/>
      <w:lang w:eastAsia="en-US"/>
    </w:rPr>
  </w:style>
  <w:style w:type="paragraph" w:customStyle="1" w:styleId="TitlePar1">
    <w:name w:val="TitlePar 1"/>
    <w:basedOn w:val="Normal"/>
    <w:qFormat/>
    <w:rsid w:val="00106A2A"/>
    <w:pPr>
      <w:widowControl/>
      <w:spacing w:before="480" w:after="120" w:line="360" w:lineRule="auto"/>
    </w:pPr>
    <w:rPr>
      <w:rFonts w:eastAsia="Calibri"/>
      <w:b/>
      <w:szCs w:val="22"/>
      <w:lang w:eastAsia="en-US"/>
    </w:rPr>
  </w:style>
  <w:style w:type="paragraph" w:customStyle="1" w:styleId="TitlePar2">
    <w:name w:val="TitlePar 2"/>
    <w:basedOn w:val="TitlePar1"/>
    <w:qFormat/>
    <w:rsid w:val="00106A2A"/>
    <w:pPr>
      <w:spacing w:before="120"/>
    </w:pPr>
  </w:style>
  <w:style w:type="paragraph" w:customStyle="1" w:styleId="TitlePar3">
    <w:name w:val="TitlePar 3"/>
    <w:basedOn w:val="TitlePar2"/>
    <w:qFormat/>
    <w:rsid w:val="00106A2A"/>
    <w:rPr>
      <w:b w:val="0"/>
      <w:i/>
    </w:rPr>
  </w:style>
  <w:style w:type="paragraph" w:customStyle="1" w:styleId="SubsectionTitle">
    <w:name w:val="SubsectionTitle"/>
    <w:basedOn w:val="SectionTitle"/>
    <w:qFormat/>
    <w:rsid w:val="00106A2A"/>
    <w:pPr>
      <w:keepNext w:val="0"/>
      <w:spacing w:after="240"/>
    </w:pPr>
    <w:rPr>
      <w:b w:val="0"/>
      <w:smallCaps w:val="0"/>
      <w:sz w:val="24"/>
    </w:rPr>
  </w:style>
  <w:style w:type="paragraph" w:customStyle="1" w:styleId="TextBorder0">
    <w:name w:val="TextBorder 0"/>
    <w:basedOn w:val="NormalWeb"/>
    <w:qFormat/>
    <w:rsid w:val="00106A2A"/>
    <w:pPr>
      <w:widowControl/>
      <w:pBdr>
        <w:bottom w:val="single" w:sz="4" w:space="1" w:color="auto"/>
      </w:pBdr>
      <w:spacing w:after="120" w:line="360" w:lineRule="auto"/>
      <w:ind w:right="7371"/>
    </w:pPr>
    <w:rPr>
      <w:rFonts w:eastAsia="Calibri"/>
      <w:lang w:eastAsia="en-US"/>
    </w:rPr>
  </w:style>
  <w:style w:type="paragraph" w:customStyle="1" w:styleId="NormalCenteredBold">
    <w:name w:val="Normal Centered Bold"/>
    <w:basedOn w:val="NormalCentered"/>
    <w:qFormat/>
    <w:rsid w:val="00106A2A"/>
    <w:rPr>
      <w:b/>
    </w:rPr>
  </w:style>
  <w:style w:type="paragraph" w:customStyle="1" w:styleId="NumTitle">
    <w:name w:val="NumTitle"/>
    <w:basedOn w:val="Normal"/>
    <w:qFormat/>
    <w:rsid w:val="00106A2A"/>
    <w:pPr>
      <w:widowControl/>
      <w:spacing w:before="360" w:after="120" w:line="360" w:lineRule="auto"/>
      <w:jc w:val="center"/>
    </w:pPr>
    <w:rPr>
      <w:rFonts w:eastAsia="Calibri"/>
      <w:sz w:val="28"/>
      <w:szCs w:val="22"/>
      <w:lang w:eastAsia="en-US"/>
    </w:rPr>
  </w:style>
  <w:style w:type="paragraph" w:customStyle="1" w:styleId="QuotedTitrearticle">
    <w:name w:val="Quoted Titre article"/>
    <w:basedOn w:val="Titrearticle"/>
    <w:qFormat/>
    <w:rsid w:val="00106A2A"/>
    <w:rPr>
      <w:i w:val="0"/>
    </w:rPr>
  </w:style>
  <w:style w:type="paragraph" w:customStyle="1" w:styleId="Text0">
    <w:name w:val="Text 0"/>
    <w:basedOn w:val="Normal"/>
    <w:qFormat/>
    <w:rsid w:val="00106A2A"/>
    <w:pPr>
      <w:widowControl/>
      <w:spacing w:before="120" w:after="120" w:line="360" w:lineRule="auto"/>
      <w:jc w:val="both"/>
    </w:pPr>
    <w:rPr>
      <w:rFonts w:eastAsia="Calibri"/>
      <w:szCs w:val="22"/>
      <w:lang w:eastAsia="en-US"/>
    </w:rPr>
  </w:style>
  <w:style w:type="paragraph" w:customStyle="1" w:styleId="ChapterNum">
    <w:name w:val="ChapterNum"/>
    <w:basedOn w:val="ChapterTitle"/>
    <w:qFormat/>
    <w:rsid w:val="00106A2A"/>
    <w:pPr>
      <w:keepNext w:val="0"/>
      <w:spacing w:before="360" w:after="120"/>
    </w:pPr>
    <w:rPr>
      <w:b w:val="0"/>
      <w:sz w:val="28"/>
    </w:rPr>
  </w:style>
  <w:style w:type="paragraph" w:customStyle="1" w:styleId="PartNum">
    <w:name w:val="PartNum"/>
    <w:basedOn w:val="PartTitle"/>
    <w:qFormat/>
    <w:rsid w:val="00106A2A"/>
    <w:pPr>
      <w:keepNext w:val="0"/>
      <w:pageBreakBefore w:val="0"/>
      <w:spacing w:before="360" w:after="120"/>
    </w:pPr>
    <w:rPr>
      <w:b w:val="0"/>
      <w:sz w:val="28"/>
    </w:rPr>
  </w:style>
  <w:style w:type="paragraph" w:customStyle="1" w:styleId="SectionNum">
    <w:name w:val="SectionNum"/>
    <w:basedOn w:val="SectionTitle"/>
    <w:qFormat/>
    <w:rsid w:val="00106A2A"/>
    <w:pPr>
      <w:keepNext w:val="0"/>
      <w:spacing w:before="360" w:after="120"/>
    </w:pPr>
    <w:rPr>
      <w:b w:val="0"/>
      <w:smallCaps w:val="0"/>
    </w:rPr>
  </w:style>
  <w:style w:type="paragraph" w:customStyle="1" w:styleId="TitleHeading">
    <w:name w:val="TitleHeading"/>
    <w:basedOn w:val="NumTitle"/>
    <w:qFormat/>
    <w:rsid w:val="00106A2A"/>
    <w:pPr>
      <w:spacing w:before="120" w:after="360"/>
    </w:pPr>
  </w:style>
  <w:style w:type="character" w:customStyle="1" w:styleId="SubItalic">
    <w:name w:val="SubItalic"/>
    <w:basedOn w:val="Italic"/>
    <w:uiPriority w:val="1"/>
    <w:qFormat/>
    <w:rsid w:val="00106A2A"/>
    <w:rPr>
      <w:rFonts w:ascii="Times New Roman" w:hAnsi="Times New Roman"/>
      <w:i/>
      <w:vertAlign w:val="subscript"/>
    </w:rPr>
  </w:style>
  <w:style w:type="character" w:customStyle="1" w:styleId="SupItalic">
    <w:name w:val="SupItalic"/>
    <w:basedOn w:val="Italic"/>
    <w:uiPriority w:val="1"/>
    <w:qFormat/>
    <w:rsid w:val="00106A2A"/>
    <w:rPr>
      <w:rFonts w:ascii="Times New Roman" w:hAnsi="Times New Roman"/>
      <w:i/>
      <w:vertAlign w:val="superscript"/>
    </w:rPr>
  </w:style>
  <w:style w:type="paragraph" w:customStyle="1" w:styleId="Point6">
    <w:name w:val="Point 6"/>
    <w:basedOn w:val="Point5"/>
    <w:qFormat/>
    <w:rsid w:val="00106A2A"/>
    <w:pPr>
      <w:ind w:left="4253"/>
      <w:jc w:val="both"/>
    </w:pPr>
  </w:style>
  <w:style w:type="table" w:customStyle="1" w:styleId="TableGrid1">
    <w:name w:val="Table Grid1"/>
    <w:basedOn w:val="TableNormal"/>
    <w:next w:val="TableGrid"/>
    <w:uiPriority w:val="39"/>
    <w:rsid w:val="00106A2A"/>
    <w:rPr>
      <w:rFonts w:ascii="Calibri" w:eastAsia="Calibri" w:hAnsi="Calibri" w:cs="Arial"/>
      <w:sz w:val="22"/>
      <w:szCs w:val="22"/>
      <w:lang w:val="bg-B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1">
    <w:name w:val="Comment Text1"/>
    <w:basedOn w:val="Normal"/>
    <w:next w:val="CommentText"/>
    <w:uiPriority w:val="99"/>
    <w:unhideWhenUsed/>
    <w:rsid w:val="00106A2A"/>
    <w:pPr>
      <w:widowControl/>
      <w:spacing w:after="160"/>
    </w:pPr>
    <w:rPr>
      <w:rFonts w:ascii="Calibri" w:eastAsia="Calibri" w:hAnsi="Calibri" w:cs="Arial"/>
      <w:sz w:val="20"/>
      <w:szCs w:val="20"/>
      <w:lang w:eastAsia="en-US"/>
    </w:rPr>
  </w:style>
  <w:style w:type="paragraph" w:customStyle="1" w:styleId="BalloonText1">
    <w:name w:val="Balloon Text1"/>
    <w:basedOn w:val="Normal"/>
    <w:next w:val="BalloonText"/>
    <w:uiPriority w:val="99"/>
    <w:semiHidden/>
    <w:unhideWhenUsed/>
    <w:rsid w:val="00106A2A"/>
    <w:pPr>
      <w:widowControl/>
    </w:pPr>
    <w:rPr>
      <w:rFonts w:ascii="Segoe UI" w:eastAsia="Calibri" w:hAnsi="Segoe UI" w:cs="Segoe UI"/>
      <w:sz w:val="18"/>
      <w:szCs w:val="18"/>
      <w:lang w:eastAsia="en-US"/>
    </w:rPr>
  </w:style>
  <w:style w:type="paragraph" w:customStyle="1" w:styleId="CommentSubject1">
    <w:name w:val="Comment Subject1"/>
    <w:basedOn w:val="CommentText"/>
    <w:next w:val="CommentText"/>
    <w:uiPriority w:val="99"/>
    <w:semiHidden/>
    <w:unhideWhenUsed/>
    <w:rsid w:val="00106A2A"/>
    <w:pPr>
      <w:widowControl/>
      <w:spacing w:after="160"/>
    </w:pPr>
    <w:rPr>
      <w:rFonts w:ascii="Calibri" w:eastAsia="Calibri" w:hAnsi="Calibri" w:cs="Arial"/>
      <w:b/>
      <w:bCs/>
      <w:lang w:eastAsia="en-US"/>
    </w:rPr>
  </w:style>
  <w:style w:type="paragraph" w:customStyle="1" w:styleId="ListParagraph1">
    <w:name w:val="List Paragraph1"/>
    <w:basedOn w:val="Normal"/>
    <w:next w:val="ListParagraph"/>
    <w:uiPriority w:val="34"/>
    <w:qFormat/>
    <w:rsid w:val="00106A2A"/>
    <w:pPr>
      <w:widowControl/>
      <w:spacing w:after="160" w:line="259" w:lineRule="auto"/>
      <w:ind w:left="720"/>
      <w:contextualSpacing/>
    </w:pPr>
    <w:rPr>
      <w:rFonts w:ascii="Calibri" w:eastAsia="Calibri" w:hAnsi="Calibri" w:cs="Arial"/>
      <w:sz w:val="22"/>
      <w:szCs w:val="22"/>
      <w:lang w:eastAsia="en-US"/>
    </w:rPr>
  </w:style>
  <w:style w:type="paragraph" w:customStyle="1" w:styleId="Revision1">
    <w:name w:val="Revision1"/>
    <w:next w:val="Revision"/>
    <w:hidden/>
    <w:uiPriority w:val="99"/>
    <w:semiHidden/>
    <w:rsid w:val="00106A2A"/>
    <w:rPr>
      <w:rFonts w:ascii="Calibri" w:eastAsia="Calibri" w:hAnsi="Calibri" w:cs="Arial"/>
      <w:sz w:val="22"/>
      <w:szCs w:val="22"/>
      <w:lang w:val="bg-BG" w:eastAsia="en-US"/>
    </w:rPr>
  </w:style>
  <w:style w:type="character" w:customStyle="1" w:styleId="FollowedHyperlink1">
    <w:name w:val="FollowedHyperlink1"/>
    <w:basedOn w:val="DefaultParagraphFont"/>
    <w:uiPriority w:val="99"/>
    <w:semiHidden/>
    <w:unhideWhenUsed/>
    <w:rsid w:val="00106A2A"/>
    <w:rPr>
      <w:color w:val="954F72"/>
      <w:u w:val="single"/>
    </w:rPr>
  </w:style>
  <w:style w:type="paragraph" w:customStyle="1" w:styleId="oj-normal">
    <w:name w:val="oj-normal"/>
    <w:basedOn w:val="Normal"/>
    <w:rsid w:val="00106A2A"/>
    <w:pPr>
      <w:widowControl/>
      <w:spacing w:before="100" w:beforeAutospacing="1" w:after="100" w:afterAutospacing="1"/>
    </w:pPr>
    <w:rPr>
      <w:lang w:eastAsia="de-DE"/>
    </w:rPr>
  </w:style>
  <w:style w:type="character" w:customStyle="1" w:styleId="Heading5Char1">
    <w:name w:val="Heading 5 Char1"/>
    <w:basedOn w:val="DefaultParagraphFont"/>
    <w:semiHidden/>
    <w:rsid w:val="00106A2A"/>
    <w:rPr>
      <w:rFonts w:ascii="Calibri Light" w:eastAsia="Times New Roman" w:hAnsi="Calibri Light" w:cs="Times New Roman"/>
      <w:color w:val="2F5496"/>
      <w:sz w:val="24"/>
      <w:lang w:val="bg-BG"/>
    </w:rPr>
  </w:style>
  <w:style w:type="character" w:customStyle="1" w:styleId="Heading6Char1">
    <w:name w:val="Heading 6 Char1"/>
    <w:basedOn w:val="DefaultParagraphFont"/>
    <w:semiHidden/>
    <w:rsid w:val="00106A2A"/>
    <w:rPr>
      <w:rFonts w:ascii="Calibri Light" w:eastAsia="Times New Roman" w:hAnsi="Calibri Light" w:cs="Times New Roman"/>
      <w:color w:val="1F3763"/>
      <w:sz w:val="24"/>
      <w:lang w:val="bg-BG"/>
    </w:rPr>
  </w:style>
  <w:style w:type="character" w:customStyle="1" w:styleId="Heading7Char1">
    <w:name w:val="Heading 7 Char1"/>
    <w:basedOn w:val="DefaultParagraphFont"/>
    <w:semiHidden/>
    <w:rsid w:val="00106A2A"/>
    <w:rPr>
      <w:rFonts w:ascii="Calibri Light" w:eastAsia="Times New Roman" w:hAnsi="Calibri Light" w:cs="Times New Roman"/>
      <w:i/>
      <w:iCs/>
      <w:color w:val="1F3763"/>
      <w:sz w:val="24"/>
      <w:lang w:val="bg-BG"/>
    </w:rPr>
  </w:style>
  <w:style w:type="character" w:customStyle="1" w:styleId="Heading8Char1">
    <w:name w:val="Heading 8 Char1"/>
    <w:basedOn w:val="DefaultParagraphFont"/>
    <w:semiHidden/>
    <w:rsid w:val="00106A2A"/>
    <w:rPr>
      <w:rFonts w:ascii="Calibri Light" w:eastAsia="Times New Roman" w:hAnsi="Calibri Light" w:cs="Times New Roman"/>
      <w:color w:val="272727"/>
      <w:sz w:val="21"/>
      <w:szCs w:val="21"/>
      <w:lang w:val="bg-BG"/>
    </w:rPr>
  </w:style>
  <w:style w:type="character" w:customStyle="1" w:styleId="Heading9Char1">
    <w:name w:val="Heading 9 Char1"/>
    <w:basedOn w:val="DefaultParagraphFont"/>
    <w:semiHidden/>
    <w:rsid w:val="00106A2A"/>
    <w:rPr>
      <w:rFonts w:ascii="Calibri Light" w:eastAsia="Times New Roman" w:hAnsi="Calibri Light" w:cs="Times New Roman"/>
      <w:i/>
      <w:iCs/>
      <w:color w:val="272727"/>
      <w:sz w:val="21"/>
      <w:szCs w:val="21"/>
      <w:lang w:val="bg-BG"/>
    </w:rPr>
  </w:style>
  <w:style w:type="character" w:customStyle="1" w:styleId="CommentTextChar1">
    <w:name w:val="Comment Text Char1"/>
    <w:basedOn w:val="DefaultParagraphFont"/>
    <w:semiHidden/>
    <w:rsid w:val="00106A2A"/>
    <w:rPr>
      <w:rFonts w:ascii="Times New Roman" w:hAnsi="Times New Roman" w:cs="Times New Roman"/>
      <w:sz w:val="20"/>
      <w:szCs w:val="20"/>
      <w:lang w:val="bg-BG"/>
    </w:rPr>
  </w:style>
  <w:style w:type="paragraph" w:customStyle="1" w:styleId="BalloonText2">
    <w:name w:val="Balloon Text2"/>
    <w:basedOn w:val="Normal"/>
    <w:next w:val="BalloonText"/>
    <w:link w:val="BalloonTextChar1"/>
    <w:rsid w:val="00106A2A"/>
    <w:pPr>
      <w:widowControl/>
      <w:jc w:val="both"/>
    </w:pPr>
    <w:rPr>
      <w:rFonts w:ascii="Segoe UI" w:eastAsia="Calibri" w:hAnsi="Segoe UI" w:cs="Segoe UI"/>
      <w:sz w:val="18"/>
      <w:szCs w:val="18"/>
      <w:lang w:eastAsia="en-US"/>
    </w:rPr>
  </w:style>
  <w:style w:type="character" w:customStyle="1" w:styleId="BalloonTextChar1">
    <w:name w:val="Balloon Text Char1"/>
    <w:basedOn w:val="DefaultParagraphFont"/>
    <w:link w:val="BalloonText2"/>
    <w:rsid w:val="00106A2A"/>
    <w:rPr>
      <w:rFonts w:ascii="Segoe UI" w:eastAsia="Calibri" w:hAnsi="Segoe UI" w:cs="Segoe UI"/>
      <w:sz w:val="18"/>
      <w:szCs w:val="18"/>
      <w:lang w:val="bg-BG" w:eastAsia="en-US"/>
    </w:rPr>
  </w:style>
  <w:style w:type="character" w:customStyle="1" w:styleId="CommentSubjectChar1">
    <w:name w:val="Comment Subject Char1"/>
    <w:basedOn w:val="CommentTextChar1"/>
    <w:semiHidden/>
    <w:rsid w:val="00106A2A"/>
    <w:rPr>
      <w:rFonts w:ascii="Times New Roman" w:hAnsi="Times New Roman" w:cs="Times New Roman"/>
      <w:b/>
      <w:bCs/>
      <w:sz w:val="20"/>
      <w:szCs w:val="20"/>
      <w:lang w:val="bg-BG"/>
    </w:rPr>
  </w:style>
  <w:style w:type="paragraph" w:customStyle="1" w:styleId="ListParagraph2">
    <w:name w:val="List Paragraph2"/>
    <w:basedOn w:val="Normal"/>
    <w:next w:val="ListParagraph"/>
    <w:uiPriority w:val="34"/>
    <w:qFormat/>
    <w:rsid w:val="00106A2A"/>
    <w:pPr>
      <w:widowControl/>
      <w:spacing w:before="120" w:after="120" w:line="360" w:lineRule="auto"/>
      <w:ind w:left="720"/>
      <w:contextualSpacing/>
      <w:jc w:val="both"/>
    </w:pPr>
    <w:rPr>
      <w:rFonts w:eastAsia="Calibri"/>
      <w:szCs w:val="22"/>
      <w:lang w:eastAsia="en-US"/>
    </w:rPr>
  </w:style>
  <w:style w:type="paragraph" w:customStyle="1" w:styleId="Revision2">
    <w:name w:val="Revision2"/>
    <w:next w:val="Revision"/>
    <w:hidden/>
    <w:uiPriority w:val="99"/>
    <w:semiHidden/>
    <w:rsid w:val="00106A2A"/>
    <w:rPr>
      <w:rFonts w:eastAsia="Calibri"/>
      <w:sz w:val="24"/>
      <w:szCs w:val="22"/>
      <w:lang w:val="bg-BG" w:eastAsia="en-US"/>
    </w:rPr>
  </w:style>
  <w:style w:type="character" w:customStyle="1" w:styleId="FollowedHyperlink2">
    <w:name w:val="FollowedHyperlink2"/>
    <w:basedOn w:val="DefaultParagraphFont"/>
    <w:semiHidden/>
    <w:unhideWhenUsed/>
    <w:rsid w:val="00106A2A"/>
    <w:rPr>
      <w:color w:val="954F72"/>
      <w:u w:val="single"/>
    </w:rPr>
  </w:style>
  <w:style w:type="character" w:customStyle="1" w:styleId="Heading2Char1">
    <w:name w:val="Heading 2 Char1"/>
    <w:basedOn w:val="DefaultParagraphFont"/>
    <w:uiPriority w:val="9"/>
    <w:semiHidden/>
    <w:rsid w:val="00106A2A"/>
    <w:rPr>
      <w:rFonts w:ascii="Calibri Light" w:eastAsia="Times New Roman" w:hAnsi="Calibri Light" w:cs="Times New Roman"/>
      <w:color w:val="2F5496"/>
      <w:sz w:val="26"/>
      <w:szCs w:val="26"/>
      <w:lang w:val="bg-BG"/>
    </w:rPr>
  </w:style>
  <w:style w:type="character" w:customStyle="1" w:styleId="Heading3Char1">
    <w:name w:val="Heading 3 Char1"/>
    <w:basedOn w:val="DefaultParagraphFont"/>
    <w:uiPriority w:val="9"/>
    <w:semiHidden/>
    <w:rsid w:val="00106A2A"/>
    <w:rPr>
      <w:rFonts w:ascii="Calibri Light" w:eastAsia="Times New Roman" w:hAnsi="Calibri Light" w:cs="Times New Roman"/>
      <w:color w:val="1F3763"/>
      <w:sz w:val="24"/>
      <w:szCs w:val="24"/>
      <w:lang w:val="bg-BG"/>
    </w:rPr>
  </w:style>
  <w:style w:type="character" w:customStyle="1" w:styleId="Heading4Char1">
    <w:name w:val="Heading 4 Char1"/>
    <w:basedOn w:val="DefaultParagraphFont"/>
    <w:uiPriority w:val="9"/>
    <w:semiHidden/>
    <w:rsid w:val="00106A2A"/>
    <w:rPr>
      <w:rFonts w:ascii="Calibri Light" w:eastAsia="Times New Roman" w:hAnsi="Calibri Light" w:cs="Times New Roman"/>
      <w:i/>
      <w:iCs/>
      <w:color w:val="2F5496"/>
      <w:sz w:val="24"/>
      <w:lang w:val="bg-BG"/>
    </w:rPr>
  </w:style>
  <w:style w:type="character" w:customStyle="1" w:styleId="Heading5Char2">
    <w:name w:val="Heading 5 Char2"/>
    <w:basedOn w:val="DefaultParagraphFont"/>
    <w:uiPriority w:val="9"/>
    <w:semiHidden/>
    <w:rsid w:val="00106A2A"/>
    <w:rPr>
      <w:rFonts w:ascii="Calibri Light" w:eastAsia="Times New Roman" w:hAnsi="Calibri Light" w:cs="Times New Roman"/>
      <w:color w:val="2F5496"/>
      <w:sz w:val="24"/>
      <w:lang w:val="bg-BG"/>
    </w:rPr>
  </w:style>
  <w:style w:type="character" w:customStyle="1" w:styleId="Heading6Char2">
    <w:name w:val="Heading 6 Char2"/>
    <w:basedOn w:val="DefaultParagraphFont"/>
    <w:uiPriority w:val="9"/>
    <w:semiHidden/>
    <w:rsid w:val="00106A2A"/>
    <w:rPr>
      <w:rFonts w:ascii="Calibri Light" w:eastAsia="Times New Roman" w:hAnsi="Calibri Light" w:cs="Times New Roman"/>
      <w:color w:val="1F3763"/>
      <w:sz w:val="24"/>
      <w:lang w:val="bg-BG"/>
    </w:rPr>
  </w:style>
  <w:style w:type="character" w:customStyle="1" w:styleId="Heading7Char2">
    <w:name w:val="Heading 7 Char2"/>
    <w:basedOn w:val="DefaultParagraphFont"/>
    <w:uiPriority w:val="9"/>
    <w:semiHidden/>
    <w:rsid w:val="00106A2A"/>
    <w:rPr>
      <w:rFonts w:ascii="Calibri Light" w:eastAsia="Times New Roman" w:hAnsi="Calibri Light" w:cs="Times New Roman"/>
      <w:i/>
      <w:iCs/>
      <w:color w:val="1F3763"/>
      <w:sz w:val="24"/>
      <w:lang w:val="bg-BG"/>
    </w:rPr>
  </w:style>
  <w:style w:type="character" w:customStyle="1" w:styleId="Heading8Char2">
    <w:name w:val="Heading 8 Char2"/>
    <w:basedOn w:val="DefaultParagraphFont"/>
    <w:uiPriority w:val="9"/>
    <w:semiHidden/>
    <w:rsid w:val="00106A2A"/>
    <w:rPr>
      <w:rFonts w:ascii="Calibri Light" w:eastAsia="Times New Roman" w:hAnsi="Calibri Light" w:cs="Times New Roman"/>
      <w:color w:val="272727"/>
      <w:sz w:val="21"/>
      <w:szCs w:val="21"/>
      <w:lang w:val="bg-BG"/>
    </w:rPr>
  </w:style>
  <w:style w:type="character" w:customStyle="1" w:styleId="Heading9Char2">
    <w:name w:val="Heading 9 Char2"/>
    <w:basedOn w:val="DefaultParagraphFont"/>
    <w:uiPriority w:val="9"/>
    <w:semiHidden/>
    <w:rsid w:val="00106A2A"/>
    <w:rPr>
      <w:rFonts w:ascii="Calibri Light" w:eastAsia="Times New Roman" w:hAnsi="Calibri Light" w:cs="Times New Roman"/>
      <w:i/>
      <w:iCs/>
      <w:color w:val="272727"/>
      <w:sz w:val="21"/>
      <w:szCs w:val="21"/>
      <w:lang w:val="bg-BG"/>
    </w:rPr>
  </w:style>
  <w:style w:type="character" w:customStyle="1" w:styleId="BalloonTextChar2">
    <w:name w:val="Balloon Text Char2"/>
    <w:basedOn w:val="DefaultParagraphFont"/>
    <w:uiPriority w:val="99"/>
    <w:semiHidden/>
    <w:rsid w:val="00106A2A"/>
    <w:rPr>
      <w:rFonts w:ascii="Segoe UI" w:hAnsi="Segoe UI" w:cs="Segoe UI"/>
      <w:sz w:val="18"/>
      <w:szCs w:val="18"/>
      <w:lang w:val="bg-BG"/>
    </w:rPr>
  </w:style>
  <w:style w:type="character" w:customStyle="1" w:styleId="UnresolvedMention1">
    <w:name w:val="Unresolved Mention1"/>
    <w:basedOn w:val="DefaultParagraphFont"/>
    <w:uiPriority w:val="99"/>
    <w:semiHidden/>
    <w:unhideWhenUsed/>
    <w:rsid w:val="00106A2A"/>
    <w:rPr>
      <w:color w:val="605E5C"/>
      <w:shd w:val="clear" w:color="auto" w:fill="E1DFDD"/>
    </w:rPr>
  </w:style>
  <w:style w:type="paragraph" w:customStyle="1" w:styleId="Normal1">
    <w:name w:val="Normal1"/>
    <w:basedOn w:val="Normal"/>
    <w:rsid w:val="00106A2A"/>
    <w:pPr>
      <w:widowControl/>
      <w:spacing w:before="100" w:beforeAutospacing="1" w:after="100" w:afterAutospacing="1"/>
    </w:pPr>
    <w:rPr>
      <w:lang w:eastAsia="fr-BE"/>
    </w:rPr>
  </w:style>
  <w:style w:type="character" w:customStyle="1" w:styleId="highlight">
    <w:name w:val="highlight"/>
    <w:basedOn w:val="DefaultParagraphFont"/>
    <w:rsid w:val="00106A2A"/>
  </w:style>
  <w:style w:type="character" w:customStyle="1" w:styleId="UnresolvedMention2">
    <w:name w:val="Unresolved Mention2"/>
    <w:basedOn w:val="DefaultParagraphFont"/>
    <w:uiPriority w:val="99"/>
    <w:semiHidden/>
    <w:unhideWhenUsed/>
    <w:rsid w:val="00106A2A"/>
    <w:rPr>
      <w:color w:val="605E5C"/>
      <w:shd w:val="clear" w:color="auto" w:fill="E1DFDD"/>
    </w:rPr>
  </w:style>
  <w:style w:type="paragraph" w:customStyle="1" w:styleId="pj">
    <w:name w:val="p.j."/>
    <w:basedOn w:val="Normal"/>
    <w:link w:val="pjChar"/>
    <w:rsid w:val="00106A2A"/>
    <w:pPr>
      <w:widowControl/>
      <w:spacing w:before="1200" w:after="120"/>
      <w:ind w:left="1440" w:hanging="1440"/>
    </w:pPr>
    <w:rPr>
      <w:rFonts w:eastAsia="Calibri"/>
      <w:szCs w:val="22"/>
      <w:lang w:eastAsia="en-US"/>
    </w:rPr>
  </w:style>
  <w:style w:type="character" w:customStyle="1" w:styleId="pjChar">
    <w:name w:val="p.j. Char"/>
    <w:basedOn w:val="DefaultParagraphFont"/>
    <w:link w:val="pj"/>
    <w:rsid w:val="00106A2A"/>
    <w:rPr>
      <w:rFonts w:eastAsia="Calibri"/>
      <w:sz w:val="24"/>
      <w:szCs w:val="22"/>
      <w:lang w:val="bg-BG" w:eastAsia="en-US"/>
    </w:rPr>
  </w:style>
  <w:style w:type="paragraph" w:customStyle="1" w:styleId="nbbordered">
    <w:name w:val="nb bordered"/>
    <w:basedOn w:val="Normal"/>
    <w:link w:val="nbborderedChar"/>
    <w:rsid w:val="00106A2A"/>
    <w:pPr>
      <w:widowControl/>
      <w:pBdr>
        <w:top w:val="single" w:sz="4" w:space="1" w:color="auto"/>
        <w:left w:val="single" w:sz="4" w:space="4" w:color="auto"/>
        <w:bottom w:val="single" w:sz="4" w:space="1" w:color="auto"/>
        <w:right w:val="single" w:sz="4" w:space="4" w:color="auto"/>
        <w:between w:val="single" w:sz="4" w:space="0" w:color="auto"/>
      </w:pBdr>
      <w:spacing w:after="160"/>
      <w:ind w:left="480" w:hanging="480"/>
    </w:pPr>
    <w:rPr>
      <w:rFonts w:eastAsia="Calibri"/>
      <w:b/>
      <w:szCs w:val="22"/>
      <w:lang w:eastAsia="en-US"/>
    </w:rPr>
  </w:style>
  <w:style w:type="character" w:customStyle="1" w:styleId="nbborderedChar">
    <w:name w:val="nb bordered Char"/>
    <w:basedOn w:val="DefaultParagraphFont"/>
    <w:link w:val="nbbordered"/>
    <w:rsid w:val="00106A2A"/>
    <w:rPr>
      <w:rFonts w:eastAsia="Calibri"/>
      <w:b/>
      <w:sz w:val="24"/>
      <w:szCs w:val="22"/>
      <w:lang w:val="bg-BG" w:eastAsia="en-US"/>
    </w:rPr>
  </w:style>
  <w:style w:type="character" w:customStyle="1" w:styleId="FooterChar3">
    <w:name w:val="Footer Char3"/>
    <w:basedOn w:val="DefaultParagraphFont"/>
    <w:rsid w:val="00106A2A"/>
    <w:rPr>
      <w:sz w:val="24"/>
      <w:lang w:val="bg-BG"/>
    </w:rPr>
  </w:style>
  <w:style w:type="character" w:customStyle="1" w:styleId="EndnoteTextChar1">
    <w:name w:val="Endnote Text Char1"/>
    <w:basedOn w:val="DefaultParagraphFont"/>
    <w:rsid w:val="00106A2A"/>
    <w:rPr>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7EDB3-A762-423B-8525-C39951237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142</Pages>
  <Words>24166</Words>
  <Characters>137752</Characters>
  <Application>Microsoft Office Word</Application>
  <DocSecurity>0</DocSecurity>
  <Lines>1147</Lines>
  <Paragraphs>323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 GIRGINOV</dc:creator>
  <cp:keywords/>
  <cp:lastModifiedBy>Kiril GIRGINOV</cp:lastModifiedBy>
  <cp:revision>2</cp:revision>
  <dcterms:created xsi:type="dcterms:W3CDTF">2023-05-09T13:31:00Z</dcterms:created>
  <dcterms:modified xsi:type="dcterms:W3CDTF">2023-05-09T13:31:00Z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BG</vt:lpwstr>
  </property>
  <property fmtid="{D5CDD505-2E9C-101B-9397-08002B2CF9AE}" pid="3" name="&lt;Model&gt;">
    <vt:lpwstr>TA_TC</vt:lpwstr>
  </property>
  <property fmtid="{D5CDD505-2E9C-101B-9397-08002B2CF9AE}" pid="4" name="&lt;Type&gt;">
    <vt:lpwstr>RR</vt:lpwstr>
  </property>
  <property fmtid="{D5CDD505-2E9C-101B-9397-08002B2CF9AE}" pid="5" name="PE number">
    <vt:lpwstr>695.825v01-00</vt:lpwstr>
  </property>
  <property fmtid="{D5CDD505-2E9C-101B-9397-08002B2CF9AE}" pid="6" name="Created with">
    <vt:lpwstr>9.14.1 Build [20230301]</vt:lpwstr>
  </property>
  <property fmtid="{D5CDD505-2E9C-101B-9397-08002B2CF9AE}" pid="7" name="LastEdited with">
    <vt:lpwstr>9.14.1 Build [20230301]</vt:lpwstr>
  </property>
  <property fmtid="{D5CDD505-2E9C-101B-9397-08002B2CF9AE}" pid="8" name="&lt;FdR&gt;">
    <vt:lpwstr>A9-0157/2022</vt:lpwstr>
  </property>
  <property fmtid="{D5CDD505-2E9C-101B-9397-08002B2CF9AE}" pid="9" name="&lt;ModelCod&gt;">
    <vt:lpwstr>NONE</vt:lpwstr>
  </property>
  <property fmtid="{D5CDD505-2E9C-101B-9397-08002B2CF9AE}" pid="10" name="&lt;ModelTra&gt;">
    <vt:lpwstr>NONE</vt:lpwstr>
  </property>
  <property fmtid="{D5CDD505-2E9C-101B-9397-08002B2CF9AE}" pid="11" name="FooterPath">
    <vt:lpwstr>RR\A9-0157/2022BG.docx</vt:lpwstr>
  </property>
</Properties>
</file>